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640"/>
        <w:ind w:hanging="284"/>
        <w:rPr>
          <w:rFonts w:ascii="Times New Roman" w:hAnsi="Times New Roman" w:eastAsia="Times New Roman" w:cs="Times New Roman"/>
          <w:color w:val="auto"/>
          <w:sz w:val="22"/>
        </w:rPr>
      </w:pPr>
      <w:r/>
      <w:bookmarkStart w:id="0" w:name="_GoBack"/>
      <w:r/>
      <w:bookmarkEnd w:id="0"/>
      <w:r/>
      <w:r/>
    </w:p>
    <w:p>
      <w:pPr>
        <w:pStyle w:val="640"/>
        <w:jc w:val="center"/>
      </w:pPr>
      <w:r>
        <w:rPr>
          <w:rFonts w:ascii="Times New Roman" w:hAnsi="Times New Roman" w:eastAsia="Times New Roman" w:cs="Times New Roman"/>
          <w:color w:val="auto"/>
          <w:sz w:val="28"/>
        </w:rPr>
        <w:object w:dxaOrig="738" w:dyaOrig="811">
          <v:shapetype type="#_x0000_t75" o:spt="75" coordsize="21600,21600" o:preferrelative="t" path="m@4@5l@4@11@9@11@9@5xe"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</v:shapetype>
          <v:shape id="_x0000_i0" o:spid="_x0000_s0" type="#_x0000_t75" style="width:36.8pt;height:40.5pt;mso-wrap-distance-left:0.0pt;mso-wrap-distance-top:0.0pt;mso-wrap-distance-right:0.0pt;mso-wrap-distance-bottom:0.0pt;" filled="f" stroked="f">
            <v:path textboxrect="0,0,0,0"/>
            <v:imagedata r:id="rId9" o:title=""/>
          </v:shape>
          <o:OLEObject DrawAspect="Content" r:id="rId10" ObjectID="_1525040" ProgID="StaticMetafile" ShapeID="_x0000_i0" Type="Embed"/>
        </w:object>
      </w:r>
      <w:r/>
    </w:p>
    <w:p>
      <w:pPr>
        <w:pStyle w:val="640"/>
        <w:ind w:left="432" w:hanging="432"/>
        <w:jc w:val="center"/>
        <w:tabs>
          <w:tab w:val="left" w:pos="0" w:leader="none"/>
        </w:tabs>
        <w:rPr>
          <w:rFonts w:ascii="Liberation Serif" w:hAnsi="Liberation Serif" w:eastAsia="Liberation Serif" w:cs="Liberation Serif"/>
          <w:b/>
          <w:sz w:val="30"/>
        </w:rPr>
      </w:pPr>
      <w:r>
        <w:rPr>
          <w:rFonts w:ascii="Liberation Serif" w:hAnsi="Liberation Serif" w:eastAsia="Liberation Serif" w:cs="Liberation Serif"/>
          <w:b/>
          <w:sz w:val="30"/>
        </w:rPr>
        <w:t xml:space="preserve"> </w:t>
      </w:r>
      <w:r/>
    </w:p>
    <w:p>
      <w:pPr>
        <w:pStyle w:val="640"/>
        <w:ind w:left="432" w:hanging="432"/>
        <w:jc w:val="center"/>
        <w:tabs>
          <w:tab w:val="left" w:pos="0" w:leader="none"/>
        </w:tabs>
        <w:rPr>
          <w:rFonts w:ascii="Liberation Serif" w:hAnsi="Liberation Serif" w:eastAsia="Liberation Serif" w:cs="Liberation Serif"/>
          <w:b/>
          <w:sz w:val="26"/>
          <w:szCs w:val="26"/>
        </w:rPr>
      </w:pPr>
      <w:r>
        <w:rPr>
          <w:rFonts w:ascii="Liberation Serif" w:hAnsi="Liberation Serif" w:eastAsia="Liberation Serif" w:cs="Liberation Serif"/>
          <w:b/>
          <w:sz w:val="26"/>
          <w:szCs w:val="26"/>
        </w:rPr>
        <w:t xml:space="preserve">АДМИНИСТРАЦИЯ ГРЯЗОВЕЦКОГО МУНИЦИПАЛЬНОГО ОКРУГА</w:t>
      </w:r>
      <w:r/>
    </w:p>
    <w:p>
      <w:pPr>
        <w:pStyle w:val="640"/>
        <w:ind w:left="432" w:hanging="432"/>
        <w:jc w:val="center"/>
        <w:tabs>
          <w:tab w:val="left" w:pos="0" w:leader="none"/>
        </w:tabs>
        <w:rPr>
          <w:rFonts w:ascii="Liberation Serif" w:hAnsi="Liberation Serif" w:eastAsia="Liberation Serif" w:cs="Liberation Serif"/>
          <w:b/>
          <w:sz w:val="36"/>
        </w:rPr>
      </w:pPr>
      <w:r>
        <w:rPr>
          <w:rFonts w:ascii="Liberation Serif" w:hAnsi="Liberation Serif" w:eastAsia="Liberation Serif" w:cs="Liberation Serif"/>
          <w:b/>
          <w:sz w:val="36"/>
        </w:rPr>
      </w:r>
      <w:r/>
    </w:p>
    <w:p>
      <w:pPr>
        <w:pStyle w:val="640"/>
        <w:jc w:val="center"/>
        <w:rPr>
          <w:rFonts w:ascii="Liberation Serif" w:hAnsi="Liberation Serif" w:eastAsia="Liberation Serif" w:cs="Liberation Serif"/>
          <w:b/>
          <w:color w:val="auto"/>
          <w:sz w:val="32"/>
        </w:rPr>
      </w:pPr>
      <w:r>
        <w:rPr>
          <w:rFonts w:ascii="Liberation Serif" w:hAnsi="Liberation Serif" w:eastAsia="Liberation Serif" w:cs="Liberation Serif"/>
          <w:b/>
          <w:color w:val="auto"/>
          <w:sz w:val="32"/>
        </w:rPr>
        <w:t xml:space="preserve">П О С Т А Н О В Л Е Н И Е</w:t>
      </w:r>
      <w:r/>
    </w:p>
    <w:p>
      <w:pPr>
        <w:pStyle w:val="640"/>
        <w:ind w:left="432" w:hanging="432"/>
        <w:jc w:val="center"/>
        <w:tabs>
          <w:tab w:val="left" w:pos="0" w:leader="none"/>
        </w:tabs>
        <w:rPr>
          <w:rFonts w:ascii="Liberation Serif" w:hAnsi="Liberation Serif" w:eastAsia="Liberation Serif" w:cs="Liberation Serif"/>
          <w:b/>
          <w:color w:val="auto"/>
          <w:sz w:val="26"/>
        </w:rPr>
      </w:pPr>
      <w:r>
        <w:rPr>
          <w:rFonts w:ascii="Liberation Serif" w:hAnsi="Liberation Serif" w:eastAsia="Liberation Serif" w:cs="Liberation Serif"/>
          <w:b/>
          <w:color w:val="auto"/>
          <w:sz w:val="26"/>
        </w:rPr>
      </w:r>
      <w:r/>
    </w:p>
    <w:p>
      <w:pPr>
        <w:pStyle w:val="640"/>
        <w:rPr>
          <w:rFonts w:ascii="Times New Roman" w:hAnsi="Times New Roman" w:eastAsia="Times New Roman" w:cs="Times New Roman"/>
          <w:color w:val="auto"/>
        </w:rPr>
      </w:pPr>
      <w:r>
        <w:rPr>
          <w:rFonts w:ascii="Times New Roman" w:hAnsi="Times New Roman" w:eastAsia="Times New Roman" w:cs="Times New Roman"/>
          <w:color w:val="auto"/>
        </w:rPr>
      </w:r>
      <w:r/>
    </w:p>
    <w:p>
      <w:pPr>
        <w:pStyle w:val="640"/>
        <w:rPr>
          <w:rFonts w:ascii="Liberation Serif" w:hAnsi="Liberation Serif" w:eastAsia="Times New Roman" w:cs="Times New Roman"/>
          <w:color w:val="auto"/>
          <w:sz w:val="26"/>
          <w:szCs w:val="26"/>
        </w:rPr>
      </w:pPr>
      <w:r>
        <w:rPr>
          <w:rFonts w:ascii="Liberation Serif" w:hAnsi="Liberation Serif" w:eastAsia="Times New Roman" w:cs="Times New Roman"/>
          <w:color w:val="auto"/>
          <w:sz w:val="26"/>
          <w:szCs w:val="26"/>
        </w:rPr>
      </w:r>
      <w:r/>
    </w:p>
    <w:tbl>
      <w:tblPr>
        <w:tblW w:w="38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6"/>
        <w:gridCol w:w="547"/>
        <w:gridCol w:w="1429"/>
      </w:tblGrid>
      <w:tr>
        <w:trPr/>
        <w:tc>
          <w:tcPr>
            <w:shd w:val="clear" w:color="auto" w:fill="auto"/>
            <w:tcBorders>
              <w:bottom w:val="single" w:color="000000" w:sz="4" w:space="0"/>
            </w:tcBorders>
            <w:tcMar>
              <w:left w:w="54" w:type="dxa"/>
              <w:top w:w="0" w:type="dxa"/>
              <w:right w:w="54" w:type="dxa"/>
              <w:bottom w:w="0" w:type="dxa"/>
            </w:tcMar>
            <w:tcW w:w="1906" w:type="dxa"/>
            <w:textDirection w:val="lrTb"/>
            <w:noWrap w:val="false"/>
          </w:tcPr>
          <w:p>
            <w:pPr>
              <w:pStyle w:val="640"/>
              <w:jc w:val="center"/>
              <w:rPr>
                <w:rFonts w:ascii="Liberation Serif" w:hAnsi="Liberation Serif" w:eastAsia="Times New Roman" w:cs="Times New Roman"/>
                <w:color w:val="auto"/>
                <w:sz w:val="26"/>
                <w:szCs w:val="26"/>
              </w:rPr>
            </w:pPr>
            <w:r>
              <w:rPr>
                <w:rFonts w:ascii="Liberation Serif" w:hAnsi="Liberation Serif" w:eastAsia="Times New Roman" w:cs="Times New Roman"/>
                <w:color w:val="auto"/>
                <w:sz w:val="26"/>
                <w:szCs w:val="26"/>
              </w:rPr>
              <w:t xml:space="preserve"> 01.01.2023</w:t>
            </w:r>
            <w:r/>
          </w:p>
        </w:tc>
        <w:tc>
          <w:tcPr>
            <w:shd w:val="clear" w:color="auto" w:fill="auto"/>
            <w:tcMar>
              <w:left w:w="54" w:type="dxa"/>
              <w:top w:w="0" w:type="dxa"/>
              <w:right w:w="54" w:type="dxa"/>
              <w:bottom w:w="0" w:type="dxa"/>
            </w:tcMar>
            <w:tcW w:w="547" w:type="dxa"/>
            <w:textDirection w:val="lrTb"/>
            <w:noWrap w:val="false"/>
          </w:tcPr>
          <w:p>
            <w:pPr>
              <w:pStyle w:val="640"/>
              <w:jc w:val="center"/>
              <w:rPr>
                <w:rFonts w:ascii="Liberation Serif" w:hAnsi="Liberation Serif" w:eastAsia="Times New Roman" w:cs="Times New Roman"/>
                <w:color w:val="auto"/>
                <w:sz w:val="26"/>
                <w:szCs w:val="26"/>
              </w:rPr>
            </w:pPr>
            <w:r>
              <w:rPr>
                <w:rFonts w:ascii="Liberation Serif" w:hAnsi="Liberation Serif" w:eastAsia="Times New Roman" w:cs="Times New Roman"/>
                <w:color w:val="auto"/>
                <w:sz w:val="26"/>
                <w:szCs w:val="26"/>
              </w:rPr>
              <w:t xml:space="preserve">№</w:t>
            </w:r>
            <w:r/>
          </w:p>
        </w:tc>
        <w:tc>
          <w:tcPr>
            <w:shd w:val="clear" w:color="auto" w:fill="auto"/>
            <w:tcBorders>
              <w:bottom w:val="single" w:color="000000" w:sz="4" w:space="0"/>
            </w:tcBorders>
            <w:tcMar>
              <w:left w:w="54" w:type="dxa"/>
              <w:top w:w="0" w:type="dxa"/>
              <w:right w:w="54" w:type="dxa"/>
              <w:bottom w:w="0" w:type="dxa"/>
            </w:tcMar>
            <w:tcW w:w="1429" w:type="dxa"/>
            <w:textDirection w:val="lrTb"/>
            <w:noWrap w:val="false"/>
          </w:tcPr>
          <w:p>
            <w:pPr>
              <w:pStyle w:val="640"/>
              <w:jc w:val="center"/>
              <w:rPr>
                <w:rFonts w:ascii="Liberation Serif" w:hAnsi="Liberation Serif" w:eastAsia="Calibri" w:cs="Calibri"/>
                <w:color w:val="auto"/>
                <w:sz w:val="26"/>
                <w:szCs w:val="26"/>
              </w:rPr>
            </w:pPr>
            <w:r>
              <w:rPr>
                <w:rFonts w:ascii="Liberation Serif" w:hAnsi="Liberation Serif" w:eastAsia="Calibri" w:cs="Calibri"/>
                <w:color w:val="auto"/>
                <w:sz w:val="26"/>
                <w:szCs w:val="26"/>
              </w:rPr>
              <w:t xml:space="preserve">6</w:t>
            </w:r>
            <w:r/>
          </w:p>
        </w:tc>
      </w:tr>
    </w:tbl>
    <w:p>
      <w:pPr>
        <w:pStyle w:val="640"/>
        <w:ind w:right="5811"/>
        <w:jc w:val="both"/>
        <w:rPr>
          <w:rFonts w:ascii="Liberation Serif" w:hAnsi="Liberation Serif" w:eastAsia="Times New Roman" w:cs="Times New Roman"/>
          <w:color w:val="auto"/>
          <w:sz w:val="26"/>
          <w:szCs w:val="26"/>
        </w:rPr>
      </w:pPr>
      <w:r>
        <w:rPr>
          <w:rFonts w:ascii="Liberation Serif" w:hAnsi="Liberation Serif" w:eastAsia="Times New Roman" w:cs="Times New Roman"/>
          <w:color w:val="auto"/>
          <w:sz w:val="26"/>
          <w:szCs w:val="26"/>
        </w:rPr>
        <w:t xml:space="preserve">                                      </w:t>
      </w:r>
      <w:r>
        <w:rPr>
          <w:rFonts w:ascii="Liberation Serif" w:hAnsi="Liberation Serif" w:eastAsia="Times New Roman" w:cs="Times New Roman"/>
          <w:color w:val="auto"/>
          <w:sz w:val="26"/>
          <w:szCs w:val="26"/>
        </w:rPr>
        <w:tab/>
      </w:r>
      <w:r/>
    </w:p>
    <w:p>
      <w:pPr>
        <w:pStyle w:val="640"/>
        <w:tabs>
          <w:tab w:val="left" w:pos="9712" w:leader="none"/>
        </w:tabs>
      </w:pPr>
      <w:r>
        <w:rPr>
          <w:rFonts w:ascii="Liberation Serif" w:hAnsi="Liberation Serif" w:eastAsia="Liberation Serif" w:cs="Liberation Serif"/>
          <w:sz w:val="26"/>
          <w:szCs w:val="26"/>
        </w:rPr>
        <w:t xml:space="preserve">                            </w:t>
      </w:r>
      <w:r>
        <w:rPr>
          <w:rFonts w:ascii="Liberation Serif" w:hAnsi="Liberation Serif" w:eastAsia="Liberation Serif" w:cs="Liberation Serif"/>
        </w:rPr>
        <w:t xml:space="preserve">  г. Грязовец</w:t>
      </w:r>
      <w:r>
        <w:rPr>
          <w:rFonts w:ascii="Liberation Serif" w:hAnsi="Liberation Serif" w:eastAsia="Liberation Serif" w:cs="Liberation Serif"/>
          <w:sz w:val="26"/>
          <w:szCs w:val="26"/>
        </w:rPr>
        <w:t xml:space="preserve">  </w:t>
      </w:r>
      <w:r/>
    </w:p>
    <w:p>
      <w:pPr>
        <w:pStyle w:val="640"/>
        <w:rPr>
          <w:rFonts w:ascii="Liberation Serif" w:hAnsi="Liberation Serif" w:eastAsia="Times New Roman" w:cs="Times New Roman"/>
          <w:color w:val="auto"/>
          <w:sz w:val="26"/>
          <w:szCs w:val="26"/>
        </w:rPr>
      </w:pPr>
      <w:r>
        <w:rPr>
          <w:rFonts w:ascii="Liberation Serif" w:hAnsi="Liberation Serif" w:eastAsia="Times New Roman" w:cs="Times New Roman"/>
          <w:color w:val="auto"/>
          <w:sz w:val="26"/>
          <w:szCs w:val="26"/>
        </w:rPr>
      </w:r>
      <w:r/>
    </w:p>
    <w:p>
      <w:pPr>
        <w:pStyle w:val="640"/>
        <w:rPr>
          <w:rFonts w:ascii="Liberation Serif" w:hAnsi="Liberation Serif" w:eastAsia="Times New Roman" w:cs="Times New Roman"/>
          <w:color w:val="auto"/>
          <w:sz w:val="26"/>
          <w:szCs w:val="26"/>
        </w:rPr>
      </w:pPr>
      <w:r>
        <w:rPr>
          <w:rFonts w:ascii="Liberation Serif" w:hAnsi="Liberation Serif" w:eastAsia="Times New Roman" w:cs="Times New Roman"/>
          <w:color w:val="auto"/>
          <w:sz w:val="26"/>
          <w:szCs w:val="26"/>
        </w:rPr>
      </w:r>
      <w:r/>
    </w:p>
    <w:p>
      <w:pPr>
        <w:ind w:right="-1"/>
        <w:jc w:val="center"/>
        <w:spacing w:after="160"/>
        <w:widowControl/>
      </w:pPr>
      <w:r>
        <w:rPr>
          <w:rFonts w:ascii="Liberation Serif" w:hAnsi="Liberation Serif" w:eastAsia="Calibri" w:cs="Liberation Serif"/>
          <w:b/>
          <w:sz w:val="26"/>
          <w:szCs w:val="26"/>
          <w:lang w:eastAsia="en-US" w:bidi="ru-RU"/>
        </w:rPr>
        <w:t xml:space="preserve">Об утверждении Положения по организации похоронного дела </w:t>
      </w:r>
      <w:r>
        <w:rPr>
          <w:rFonts w:ascii="Liberation Serif" w:hAnsi="Liberation Serif" w:eastAsia="Calibri" w:cs="Liberation Serif"/>
          <w:b/>
          <w:sz w:val="26"/>
          <w:szCs w:val="26"/>
          <w:lang w:eastAsia="en-US" w:bidi="ru-RU"/>
        </w:rPr>
        <w:br/>
      </w:r>
      <w:r>
        <w:rPr>
          <w:rFonts w:ascii="Liberation Serif" w:hAnsi="Liberation Serif" w:eastAsia="Calibri" w:cs="Liberation Serif"/>
          <w:b/>
          <w:sz w:val="26"/>
          <w:szCs w:val="26"/>
          <w:lang w:eastAsia="en-US" w:bidi="ru-RU"/>
        </w:rPr>
        <w:t xml:space="preserve">в границах Грязовецкого муниципального округа</w:t>
      </w:r>
      <w:r/>
    </w:p>
    <w:p>
      <w:pPr>
        <w:pStyle w:val="640"/>
        <w:jc w:val="both"/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pPr>
      <w:r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r>
      <w:r/>
    </w:p>
    <w:p>
      <w:pPr>
        <w:pStyle w:val="640"/>
        <w:jc w:val="both"/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pPr>
      <w:r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r>
      <w:r/>
    </w:p>
    <w:p>
      <w:pPr>
        <w:pStyle w:val="640"/>
        <w:jc w:val="both"/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pPr>
      <w:r>
        <w:rPr>
          <w:rFonts w:ascii="Liberation Serif" w:hAnsi="Liberation Serif" w:eastAsia="Times New Roman" w:cs="Liberation Serif"/>
          <w:b/>
          <w:color w:val="auto"/>
          <w:sz w:val="26"/>
          <w:szCs w:val="26"/>
        </w:rPr>
      </w:r>
      <w:r/>
    </w:p>
    <w:p>
      <w:pPr>
        <w:ind w:firstLine="709"/>
        <w:jc w:val="both"/>
        <w:spacing w:after="160"/>
        <w:widowControl/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В соответствии с Федеральным законом от 12.01.1996 № 8-ФЗ «О погребении и похоронном деле», Федеральным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 законом от 06.10.2003 № 131-ФЗ «Об общих принципах организации местного самоуправления в Российской Федерации», Уставом Грязовецкого муниципального округа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                   </w:t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Администрация Грязовецкого муниципального округа ПОСТАНОВЛЯЕТ:</w:t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1. Утвердить </w:t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 xml:space="preserve">Положение по организации похоронного дела в границах Грязовецкого муниципального округа, согласно приложению к настоящему постановлению.</w:t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  <w:t xml:space="preserve">2.</w:t>
      </w:r>
      <w:r>
        <w:rPr>
          <w:rFonts w:ascii="Liberation Serif" w:hAnsi="Liberation Serif" w:eastAsia="Times New Roman" w:cs="Liberation Serif"/>
          <w:sz w:val="26"/>
          <w:szCs w:val="26"/>
          <w:lang w:eastAsia="en-US" w:bidi="ru-RU"/>
        </w:rPr>
        <w:t xml:space="preserve"> </w:t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 xml:space="preserve">Настоящее постановление вступает в силу с момента его подписания и распространяется на правоотношения возни</w:t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 xml:space="preserve">кшие  с 01 января 2023 г.</w:t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ru-RU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3. Настоящее постановление  подлежит размещению на официальном сайте Грязовецкого муниципального округа</w:t>
      </w:r>
      <w:r/>
    </w:p>
    <w:p>
      <w:pPr>
        <w:pStyle w:val="640"/>
        <w:spacing w:line="276" w:lineRule="auto"/>
        <w:rPr>
          <w:rFonts w:ascii="Liberation Serif" w:hAnsi="Liberation Serif" w:eastAsia="Liberation Serif" w:cs="Liberation Serif"/>
          <w:sz w:val="26"/>
          <w:szCs w:val="26"/>
        </w:rPr>
      </w:pPr>
      <w:r>
        <w:rPr>
          <w:rFonts w:ascii="Liberation Serif" w:hAnsi="Liberation Serif" w:eastAsia="Liberation Serif" w:cs="Liberation Serif"/>
          <w:sz w:val="26"/>
          <w:szCs w:val="26"/>
        </w:rPr>
      </w:r>
      <w:r/>
    </w:p>
    <w:p>
      <w:pPr>
        <w:pStyle w:val="640"/>
        <w:spacing w:line="276" w:lineRule="auto"/>
        <w:rPr>
          <w:rFonts w:ascii="Liberation Serif" w:hAnsi="Liberation Serif" w:eastAsia="Liberation Serif" w:cs="Liberation Serif"/>
          <w:sz w:val="26"/>
          <w:szCs w:val="26"/>
        </w:rPr>
      </w:pPr>
      <w:r>
        <w:rPr>
          <w:rFonts w:ascii="Liberation Serif" w:hAnsi="Liberation Serif" w:eastAsia="Liberation Serif" w:cs="Liberation Serif"/>
          <w:sz w:val="26"/>
          <w:szCs w:val="26"/>
        </w:rPr>
      </w:r>
      <w:r/>
    </w:p>
    <w:p>
      <w:pPr>
        <w:pStyle w:val="640"/>
        <w:spacing w:line="276" w:lineRule="auto"/>
        <w:rPr>
          <w:rFonts w:ascii="Liberation Serif" w:hAnsi="Liberation Serif" w:eastAsia="Liberation Serif" w:cs="Liberation Serif"/>
          <w:sz w:val="26"/>
          <w:szCs w:val="26"/>
        </w:rPr>
      </w:pPr>
      <w:r>
        <w:rPr>
          <w:rFonts w:ascii="Liberation Serif" w:hAnsi="Liberation Serif" w:eastAsia="Liberation Serif" w:cs="Liberation Serif"/>
          <w:sz w:val="26"/>
          <w:szCs w:val="26"/>
        </w:rPr>
      </w:r>
      <w:r/>
    </w:p>
    <w:p>
      <w:pPr>
        <w:pStyle w:val="640"/>
        <w:jc w:val="both"/>
        <w:spacing w:line="360" w:lineRule="auto"/>
        <w:rPr>
          <w:rFonts w:ascii="Liberation Serif" w:hAnsi="Liberation Serif" w:eastAsia="Liberation Serif" w:cs="Liberation Serif"/>
          <w:sz w:val="26"/>
          <w:szCs w:val="26"/>
        </w:rPr>
      </w:pPr>
      <w:r>
        <w:rPr>
          <w:rFonts w:ascii="Liberation Serif" w:hAnsi="Liberation Serif" w:eastAsia="Liberation Serif" w:cs="Liberation Serif"/>
          <w:sz w:val="26"/>
          <w:szCs w:val="26"/>
        </w:rPr>
        <w:t xml:space="preserve">Глава Грязовецкого муниципального округа</w:t>
      </w:r>
      <w:r>
        <w:rPr>
          <w:rFonts w:ascii="Liberation Serif" w:hAnsi="Liberation Serif" w:eastAsia="Liberation Serif" w:cs="Liberation Serif"/>
          <w:sz w:val="26"/>
          <w:szCs w:val="26"/>
        </w:rPr>
        <w:tab/>
      </w:r>
      <w:r>
        <w:rPr>
          <w:rFonts w:ascii="Liberation Serif" w:hAnsi="Liberation Serif" w:eastAsia="Liberation Serif" w:cs="Liberation Serif"/>
          <w:sz w:val="26"/>
          <w:szCs w:val="26"/>
        </w:rPr>
        <w:tab/>
        <w:t xml:space="preserve">               </w:t>
      </w:r>
      <w:r>
        <w:rPr>
          <w:rFonts w:ascii="Liberation Serif" w:hAnsi="Liberation Serif" w:eastAsia="Liberation Serif" w:cs="Liberation Serif"/>
          <w:sz w:val="26"/>
          <w:szCs w:val="26"/>
        </w:rPr>
        <w:tab/>
      </w:r>
      <w:r>
        <w:rPr>
          <w:rFonts w:ascii="Liberation Serif" w:hAnsi="Liberation Serif" w:eastAsia="Liberation Serif" w:cs="Liberation Serif"/>
          <w:sz w:val="26"/>
          <w:szCs w:val="26"/>
        </w:rPr>
        <w:tab/>
        <w:t xml:space="preserve">   С.А. Фёкличев</w:t>
      </w:r>
      <w:r/>
    </w:p>
    <w:p>
      <w:pPr>
        <w:pStyle w:val="640"/>
        <w:jc w:val="both"/>
        <w:spacing w:line="360" w:lineRule="auto"/>
        <w:rPr>
          <w:rFonts w:ascii="Liberation Serif" w:hAnsi="Liberation Serif" w:eastAsia="Liberation Serif" w:cs="Liberation Serif"/>
          <w:sz w:val="26"/>
          <w:szCs w:val="26"/>
        </w:rPr>
      </w:pPr>
      <w:r>
        <w:rPr>
          <w:rFonts w:ascii="Liberation Serif" w:hAnsi="Liberation Serif" w:eastAsia="Liberation Serif" w:cs="Liberation Serif"/>
          <w:sz w:val="26"/>
          <w:szCs w:val="26"/>
        </w:rPr>
      </w:r>
      <w:r/>
    </w:p>
    <w:p>
      <w:pPr>
        <w:ind w:left="5954"/>
        <w:jc w:val="both"/>
        <w:pageBreakBefore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УТВЕРЖДЕНО </w:t>
      </w:r>
      <w:r/>
    </w:p>
    <w:p>
      <w:pPr>
        <w:ind w:left="5954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постановлением администрации 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br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Грязовецкого муниципального округа от 01.01.2023 № 6</w:t>
      </w:r>
      <w:r/>
    </w:p>
    <w:p>
      <w:pPr>
        <w:ind w:left="5954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(приложение)</w:t>
      </w:r>
      <w:r/>
    </w:p>
    <w:p>
      <w:pPr>
        <w:ind w:firstLine="709"/>
        <w:jc w:val="both"/>
        <w:widowControl/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</w:r>
      <w:r/>
    </w:p>
    <w:p>
      <w:pPr>
        <w:ind w:firstLine="709"/>
        <w:jc w:val="both"/>
        <w:widowControl/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</w:r>
      <w:r/>
    </w:p>
    <w:p>
      <w:pPr>
        <w:ind w:firstLine="709"/>
        <w:jc w:val="center"/>
        <w:widowControl/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ПОЛОЖЕНИЕ</w:t>
      </w:r>
      <w:r/>
    </w:p>
    <w:p>
      <w:pPr>
        <w:ind w:firstLine="709"/>
        <w:jc w:val="center"/>
        <w:widowControl/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по организации похоронного дела </w:t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br/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в границах Грязовецкого муниципального округа</w:t>
      </w:r>
      <w:r/>
    </w:p>
    <w:p>
      <w:pPr>
        <w:ind w:firstLine="709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r>
      <w:r/>
    </w:p>
    <w:p>
      <w:pPr>
        <w:numPr>
          <w:ilvl w:val="0"/>
          <w:numId w:val="1"/>
        </w:numPr>
        <w:ind w:firstLine="709"/>
        <w:jc w:val="center"/>
        <w:spacing w:after="160"/>
        <w:widowControl/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Общие положения</w:t>
      </w:r>
      <w:r/>
    </w:p>
    <w:p>
      <w:pPr>
        <w:ind w:firstLine="709"/>
        <w:jc w:val="both"/>
        <w:spacing w:after="160"/>
        <w:widowControl/>
        <w:tabs>
          <w:tab w:val="left" w:pos="0" w:leader="none"/>
        </w:tabs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1.1 Настоящий Порядок разработан в соответствии с Федеральным законом      от 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06.10.2003 № 131-ФЗ «Об общих принципах организации местного самоуправления в Российской Федерации», Федеральным законом от 12.01.1996        № 8-ФЗ «О погребении и похоронном деле».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1.2. Настоящий Порядок определяет основы организации похоронного де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ла (ритуальных услуг) в границах Грязовецкого муниципального округа.</w:t>
      </w:r>
      <w:r/>
    </w:p>
    <w:p>
      <w:pPr>
        <w:ind w:firstLine="709"/>
        <w:jc w:val="center"/>
        <w:spacing w:after="160"/>
        <w:widowControl/>
        <w:tabs>
          <w:tab w:val="left" w:pos="0" w:leader="none"/>
        </w:tabs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2. </w:t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Полномочия органов местного самоуправления </w:t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br/>
      </w: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и их структурных подразделений</w:t>
      </w:r>
      <w:r/>
    </w:p>
    <w:p>
      <w:pPr>
        <w:ind w:firstLine="709"/>
        <w:jc w:val="both"/>
        <w:spacing w:after="160"/>
        <w:widowControl/>
        <w:tabs>
          <w:tab w:val="left" w:pos="0" w:leader="none"/>
        </w:tabs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2.1. Администрация Грязовецкого муниципального округа: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1) принимает решение о создании (закрытии) мест пог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ребения в границах округа;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2) в лице отраслевого (функционального) органа администрации Грязовецкого муниципального округа - Управление имущественных и земельных отношений администрации Грязовецкого муниципального округа, осуществляет предостав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ление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земельного участка для размещения места погребения в соответствии с земельным законодательством, а также в соответствии с проектной документацией, утвержденной в порядке, установленном законодательством Российской Федерации и законодательством Волого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дской области;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3) 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создает специализированные службы по вопросам похоронного дела, на которые возлагается обязанность по осуществлению погребения умерших;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4) определяет порядок деятельности специализированных служб по вопросам похоронного дела;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5) устанавливает требования к качеству ритуальных услуг, предоставляемых специализированной службой по вопросам похоронного дела, согласно гарантированному перечню услуг по погребению;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6) определяет стоимость услуг предоставляемых согласно гаранти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рованному перечню услуг по погребению;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7)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устанавливает правила содержания мест погребения;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8) определяет порядок деятельности общес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твенных кладбищ;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9) определяет порядок деятельности воинских кладбищ и военных мемориальных кладбищ;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10)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ус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танавливает размер бесплатно предоставляемого участка земли для погребения умершего;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11) определяет порядок предоставления  участка земли для погребения умершего.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2.2. 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Территориальные управления администрации Грязовецкого муниципального 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округа (далее — территориальные управления):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1) направляет в адрес администрации Грязовецкого муниципального округа предложения о создании, закрытии, реконструкции, переносе мест погребения, в соответствии с действующими санитарными правилами и нормами;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2) обеспечивают содержание мест погребения, расположенных на территориях, входящих в границы ответственности территориального управления;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3) обеспечивают организацию мест погребения, расположенных на территориях, входящих в границы ответственности терр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иториального управления (в том числе разрабатывают схему последовательности предоставления земельных участков для погребения умерших, определяют участки текущего захоронения,  осуществляют разбивку по зонам захоронения, определяют участки почетных, воински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х, родовых (семейных) захоронений, осуществляют регистрацию захоронений в книге учета захоронений);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4) обеспечивают в соответствии порядком, определенным администрацией Грязовецкого муниципального округа, деятельность общественных кладбищ,  воински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х кладбищ и военных мемориальных кладбищ, расположенных на территориях, входящих в границы ответственности территориального управления;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5) предоставляет участок земли для погребения умершего на кладбищах, расположенных на территориях, входящих в границы от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ветственности территориального управления, в порядке определенном администрацией Грязовецкого муниципального округа;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6) осуществляет контроль соблюдения границ 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бесплатно предоставляемого участка земли для погребения умершего;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7) 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оказывает содейс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твие в исполнении волеизъявления умершего о погребении его тела (останков) или праха на указанном им месте погребения в случае его смерти в ином населенном пункте или на территории иностранного государства лицу, взявшему на себя обязанность осуществить пог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ребение умершего и оплатить связанные с погребением расходы, в получении в установленные законодательством Российской Федерации сроки справки о смерти, разрешения на перевозку тела (останков) умершего, а также проездных документов, включая документы на пер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есечение государственных границ;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8) рассматривает обращения граждан, по вопросам оказания ритуальных услуг, и направляет ответы в адрес заявителя;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9)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предоставляет в установленные сроки по запросу администрации Грязовецкого муниципального округа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информацию по вопросам похоронного дела;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10) обеспечивает перевозку до морга тела (останков) умерших (погибших), личность которых не установлена либо личность которых установлена, но отсутствует лицо, взявшее на себя обязанность по погребению, в случае есл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 перевозка тела (останков) умерших (погибших) не является полномочием иных органов в соответствии с действующим законодательством.</w:t>
      </w:r>
      <w:r/>
    </w:p>
    <w:p>
      <w:pPr>
        <w:ind w:left="1440" w:firstLine="709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r>
      <w:r/>
    </w:p>
    <w:p>
      <w:pPr>
        <w:ind w:left="360"/>
        <w:jc w:val="center"/>
        <w:spacing w:after="160"/>
        <w:widowControl/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3. Правила содержания мест погребения</w:t>
      </w:r>
      <w:r/>
    </w:p>
    <w:p>
      <w:pPr>
        <w:ind w:firstLine="709"/>
        <w:jc w:val="both"/>
        <w:spacing w:after="160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3.1. Правила содержания мест погребения определяются Правилами благоустройства 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Грязовецкого муниципального округа Вологодской области, утвержденными решением Земского Собрания Грязовецкого муниципального округа и настоящим Положением.</w:t>
      </w:r>
      <w:r/>
    </w:p>
    <w:p>
      <w:pPr>
        <w:ind w:left="1080" w:firstLine="709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r>
      <w:r/>
    </w:p>
    <w:p>
      <w:pPr>
        <w:ind w:left="360"/>
        <w:jc w:val="center"/>
        <w:spacing w:after="160"/>
        <w:widowControl/>
      </w:pPr>
      <w:r>
        <w:rPr>
          <w:rFonts w:ascii="Liberation Serif" w:hAnsi="Liberation Serif" w:eastAsia="Calibri" w:cs="Liberation Serif"/>
          <w:b/>
          <w:bCs/>
          <w:color w:val="auto"/>
          <w:sz w:val="26"/>
          <w:szCs w:val="26"/>
          <w:lang w:eastAsia="en-US" w:bidi="ar-SA"/>
        </w:rPr>
        <w:t xml:space="preserve">4. Порядок деятельности общественных кладбищ</w:t>
      </w:r>
      <w:r/>
    </w:p>
    <w:p>
      <w:pPr>
        <w:ind w:firstLine="709"/>
        <w:jc w:val="both"/>
        <w:spacing w:after="160"/>
        <w:widowControl/>
        <w:tabs>
          <w:tab w:val="left" w:pos="0" w:leader="none"/>
        </w:tabs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4.1. Кладбища открыты для посещения и захоронения ежед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невно с 8:00 часов до 17:00 часов.</w:t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ab/>
        <w:t xml:space="preserve">4.2. 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На общественных кладбищах погребение может осуществляться с учётом вероисповедальных, воинских и иных обычаев и традиций.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4.3. На территории общественного кладбища могут выделяться участки для почетных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захоронений, воинских захоронений, а также производятся одиночные, родственные и семейные (родовые) захоронения.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4.4. Глубина могилы должна составлять не менее 1,5 метров (от поверхности земли до крышки гроба);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4.5. Надмогильные насыпи должны и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меть высоту не более 0,3 метра от поверхности межрядового прохода (проезда).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4.6. Установка надмогильных сооружений (надгробий) и оград на кладбищах допускается только в границах предоставленных участков земли. Устанавливаемые надмогильные сооружения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(надгробия) и ограды не должны иметь частей, выступающих за границы мест захоронения или нависающих над соседними. Высота надмогильных сооружений не должна превышать 2 метров, оград - 1 метра.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4.7. Монтаж, демонтаж, ремонт, замена надмогильных сооружений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(надгробий) и оград осуществляются близкими родственниками, либо лицом, взявшим на себя обязанность осуществить погребение.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4.8. Надписи на надмогильных сооружениях (надгробиях) должны соответствовать сведениям о действительно захороненных в данном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месте умерших.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4.9. Надмогильные сооружения устанавливаются с соблюдением соответствующих требований строительных норм и правил.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4.10. Установленные гражданами (организациями) надмогильные сооружения (памятники, цветники и др.) являются их собственностью.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4.11. Лица, ответственные за захоронение, обязаны поддерживать чистоту и порядок на месте захоронения, содержать оформленный надмогильный холм (насыпь), надмогильные сооружения и зеленые насаждения (в том числе осуществлять вырубку деревьев, растущих в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границах участка захоронения), проводить ремонт надмогильных сооружений.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4.12. При отсутствии сведений о захоронении, а также отсутствии ухода за захоронениями, по истечении 20 лет с момента захоронения могилы признаются бесхозяйными в соответствии с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действующим законодательством.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4.13. В случае обнаружения специалистами территориального управления  незарегистрированного захоронения, информация немедленно направляется в органы внутренних дел для осуществления мероприятий по установлению сведений об у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мершем (погибшем), розыску нарушителей в соответствии с действующим законодательством.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4.14. На территории кладбища посетители должны соблюдать общественный порядок и тишину.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4.15. Посетители кладбища имеют право: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1)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устанавливать памят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ники, в соответствии с требованиями настоящего порядка;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2) сажать цветы на могильном участке;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3) другие права, предусмотренные действующим законодательством.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4.16. На территории кладбища посетителям запрещается: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1) портить памятники, о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борудование кладбища, засорять территорию;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2) повреждать зеленые насаждения, осуществлять посадку деревьев.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4.17. За нарушение настоящего порядка, виновные лица несут ответственность, в соответствии с действующим законодательством.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4.18. Проезд на тер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риторию кладбища автотранспорта производится по согласованию с соответствующим территориальным управлением, в границах ответственности которого находится кладбище.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4.19. Настоящий порядок размещается на территории кладбищ, официальном сайте администрац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ии Грязовецкого муниципального округа в сети интернет.</w:t>
      </w:r>
      <w:r/>
    </w:p>
    <w:p>
      <w:pPr>
        <w:ind w:firstLine="709"/>
        <w:jc w:val="both"/>
        <w:widowControl/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</w:r>
      <w:r/>
    </w:p>
    <w:p>
      <w:pPr>
        <w:ind w:left="360"/>
        <w:jc w:val="center"/>
        <w:spacing w:after="160" w:line="251" w:lineRule="auto"/>
        <w:widowControl/>
      </w:pPr>
      <w:r>
        <w:rPr>
          <w:rFonts w:ascii="Liberation Serif" w:hAnsi="Liberation Serif" w:eastAsia="Calibri" w:cs="Liberation Serif"/>
          <w:b/>
          <w:bCs/>
          <w:sz w:val="26"/>
          <w:szCs w:val="26"/>
          <w:lang w:eastAsia="en-US" w:bidi="ar-SA"/>
        </w:rPr>
        <w:t xml:space="preserve">5. Размер бесплатно предоставляемого участка земли </w:t>
      </w:r>
      <w:r>
        <w:rPr>
          <w:rFonts w:ascii="Liberation Serif" w:hAnsi="Liberation Serif" w:eastAsia="Calibri" w:cs="Liberation Serif"/>
          <w:b/>
          <w:bCs/>
          <w:sz w:val="26"/>
          <w:szCs w:val="26"/>
          <w:lang w:eastAsia="en-US" w:bidi="ar-SA"/>
        </w:rPr>
        <w:br/>
      </w:r>
      <w:r>
        <w:rPr>
          <w:rFonts w:ascii="Liberation Serif" w:hAnsi="Liberation Serif" w:eastAsia="Calibri" w:cs="Liberation Serif"/>
          <w:b/>
          <w:bCs/>
          <w:sz w:val="26"/>
          <w:szCs w:val="26"/>
          <w:lang w:eastAsia="en-US" w:bidi="ar-SA"/>
        </w:rPr>
        <w:t xml:space="preserve">для погребения умершего</w:t>
      </w:r>
      <w:r/>
    </w:p>
    <w:p>
      <w:pPr>
        <w:ind w:firstLine="709"/>
        <w:jc w:val="both"/>
        <w:spacing w:after="160" w:line="251" w:lineRule="auto"/>
        <w:widowControl/>
        <w:tabs>
          <w:tab w:val="left" w:pos="0" w:leader="none"/>
        </w:tabs>
      </w:pP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5.1. Участки земли для погребения умерших подразделяются на следующие виды: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1)одиночные;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2) родственные;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3) семейные (родовые);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4) почетные;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5) воинские.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5.2. Одиночные захоронения — отведенные в соответствии с этическими, санитарными и экологическими требованиями и правилами отдельные участки земли на общественных кладбищах д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ля захоронения тел (останков) одиноких граждан, граждан, при захоронении которых супруг, близкие родственники (дети, родители, усыновленные, усыновители, родные братья и родные сестры, внуки, дедушки, бабушки), иные родственники, законные представители уме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ршего (погибшего) или иные лица, взявшие на себя обязанность осуществить погребение умершего (погибшего), не заявили о создании родственного или семейного захоронения, а также граждан, личность которых не установлена органами внутренних дел, или не имеющих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супруга, близких родственников, или иных родственников, либо законного представителя или при невозможности ими осуществить погребение. Размер предоставляемого участка земли для захоронения в указанном случае составляет не более 3,75 кв.м. (1,5 м.*2,5 м.).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color w:val="auto"/>
          <w:sz w:val="26"/>
          <w:szCs w:val="26"/>
          <w:lang w:eastAsia="en-US" w:bidi="ar-SA"/>
        </w:rPr>
        <w:t xml:space="preserve">5.3. 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Родственные захоронения – отведенные в соответствии с этическими, санитарными и экологическими требованиями и правилами отдельные участки земли на общественных кладбищах для захоронения тел (останков) умершего таким образом, чтобы гарантировать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погребение на этом же участке земли умершего супруга или близкого родственника. Размер предоставляемого участка земли для родственного захоронения составляет не более 7,5 кв.м. (3 м.*2,5 м.).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5.4. Семейные (родовые) захоронения — отведенные в соответств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ии с этическими, санитарными и экологическими требованиями и правилами отдельные участки земли на общественных кладбищах для захоронения тел (останков) умерших супругов, близких родственников. Размер предоставляемого участка земли для родственного захороне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ния составляет не более 13 кв.м. За резервирование места семейного (родового) захоронения превышающего размер бесплатно предоставляемого участка земля для семейного (родового) захоронения взимается плата в размере 4000,00 рублей за 1 квадратный метр.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5.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5. Почетные захоронения -  отведенные в соответствии с этическими, санитарными и экологическими требованиями и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правилами отдельные участки земли на общественных кладбищах для захоронения тел (останков) умерших, имеющие особые заслуги перед обществом и госу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дарством. Размер предоставляемого участка земли для почетного захоронения составляет не более 7,5 кв.м. (3 м.*2,5 м.).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5.6. Воинские захоронения -  отведенные в соответствии с этическими, санитарными и экологическими требованиями и правилами отдельные уч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астки земли на общественных кладбищах для захоронения тел (останков) умерших с учетом воинских обычаев и традиций. Размер предоставляемого участка земли для воинского захоронения составляет не более 5,0 кв.м. (2 м.*2,5 м.). На местах воинских захоронений п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одзахоронение не допускается.</w:t>
      </w:r>
      <w:r/>
    </w:p>
    <w:p>
      <w:pPr>
        <w:ind w:firstLine="709"/>
        <w:jc w:val="both"/>
        <w:widowControl/>
        <w:rPr>
          <w:rFonts w:ascii="Liberation Serif" w:hAnsi="Liberation Serif" w:eastAsia="Calibri" w:cs="Liberation Serif"/>
          <w:sz w:val="26"/>
          <w:szCs w:val="26"/>
          <w:lang w:eastAsia="en-US" w:bidi="ar-SA"/>
        </w:rPr>
      </w:pP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</w:r>
      <w:r/>
    </w:p>
    <w:p>
      <w:pPr>
        <w:ind w:left="360"/>
        <w:jc w:val="center"/>
        <w:spacing w:after="160" w:line="251" w:lineRule="auto"/>
        <w:widowControl/>
      </w:pPr>
      <w:r>
        <w:rPr>
          <w:rFonts w:ascii="Liberation Serif" w:hAnsi="Liberation Serif" w:eastAsia="Calibri" w:cs="Liberation Serif"/>
          <w:b/>
          <w:bCs/>
          <w:sz w:val="26"/>
          <w:szCs w:val="26"/>
          <w:lang w:eastAsia="en-US" w:bidi="ar-SA"/>
        </w:rPr>
        <w:t xml:space="preserve">6. Порядок предоставления участка земли для погребения умершего</w:t>
      </w:r>
      <w:r/>
    </w:p>
    <w:p>
      <w:pPr>
        <w:ind w:firstLine="709"/>
        <w:jc w:val="both"/>
        <w:spacing w:after="160" w:line="251" w:lineRule="auto"/>
        <w:widowControl/>
        <w:tabs>
          <w:tab w:val="left" w:pos="0" w:leader="none"/>
        </w:tabs>
      </w:pP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6.1. На территории Российской Федерации каждому человеку после его смерти гарантируются погребение с учетом его волеизъявления, предоставление бесплатно участка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земли для погребения тела (останков) или праха.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6.2. Исполнение волеизъявления умершего о погребении его тела (останков) или праха на указанном им месте погребения, рядом с ранее умершими гарантируется при наличии на указанном месте погребения свободног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о участка земли или могилы ранее умершего близкого родственника либо ранее умершего супруга. В иных случаях возможность исполнения волеизъявления умершего о погребении его тела (останков) или праха на указанном им месте погребения определяется территориаль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ным управлением  с учетом места смерти, наличия на указанном им месте погребения свободного участка земли, а также с учетом заслуг умершего перед обществом и государством.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6.3. Новые захоронения производятся в последовательном порядке по действующей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 схеме предоставления земельных участков для погребения умерших.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6.4. Для предоставление участка земли для погребения умершего супруг, близкий родственник, иной родственник, законный представитель умершего или иное лицо, взявшее на себя обязанность осущес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твить погребение умершего, обращается с заявлением в территориальное управление, в границы ответственности которого входит территория на которой расположено кладбище, с указанием вида участка земли, с учетом волеизъявления умершего (погибшего) либо пожелан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ия супруга, близких родственников или иных родственников.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6.5. К заявлению необходимо приложить копию свидетельства о смерти или справки о смерти с предъявлением подлинника (для обозрения) либо заверенными нотариально.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6.6. В случае указания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вида участка земли — для почетного захоронения дополнительно предоставляется ходатайство заинтересованных лиц, подтверждающее заслуги умершего перед государством и обществом и при отсутствии противоречий с волеизъявлением умершего. Решение о предоставлени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 участка земли для почетного захоронения принимает территориальное управление по итогам рассмотрения представленного ходатайства. При погребении на местах почетных захоронений территориальное управление выдает ответственному за захоронение удостоверение о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почетном захоронении.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6.7. В случае указания вида участка земли — для семейного (родового захоронения) отношения между территориальным управлением и гражданином, подавшим заявление регулируются 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законом Вологодской области от 30.06.2020         № 4750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-ОЗ «О семейных (родовых) захоронениях на территории Вологодской области». При создании семейного (родового) захоронения территориальное управление выдает удостоверение семейного захоронения, выдаваемое лицу, на имя которого зарегистрировано семейное захор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онение.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6.8. Заявление на предоставление участка земли для погребения умершего рассматривается территориальным управлением в течение одного дня, если иной срок не установлен законодательными актами Российской Федерации и Вологодской области. Возможнос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ть исполнения волеизъявления умершего (погибшего) либо пожелания супруга, близких родственников или иных родственников определяется с выходом на место. Учитываются наличие имеющихся захоронений, размер ограды, расстояние до соседних захоронений, давность з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ахоронений и состояние надмогильных сооружений, наличие древесно-кустарниковой растительности и иные условия.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6.9. При отсутствия возможности исполнения волеизъявления умершего (погибшего) либо пожелания супруга, близких родственников или иных р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одственников, предоставляется участок земли, размер которого позволяет гарантировать погребение на этом же участке земли умершего супруга или близкого родственника.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6.10. Территориальное управление при предоставлении участка земли для погребения о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бязано ознакомить лицо, ответственное за погребение с порядком деятельности общественных кладбищ и их содержания, в соответствии с настоящим положением.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6.11. Отказ в удовлетворении заявления допускается только в случае отсутствия свидетельства о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 смерти или справки о смерти.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6.12. Каждое захоронение регистрируется в книге учета захоронений с указанием номеров участков и могилы, а также данных о лице, ответственном за захоронение.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6.13. Погребение умершего в существующую могилу разрешает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ся после истечения полного периода минерализации, но не ранее чем через 20 лет с момента предыдущего погребения.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6.14. Производить погребения на закрытых кладбищах запрещается, за исключением случаев последующего погребения умерших на местах родстве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нных и семейных (родовых) захоронений.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6.15. Книга учета захоронений является документом строгой отчетности, ведется в электронном виде и на бумажном носителе. Экземпляр книги учета захоронений на бумажном носителе хранится в территориальном управлен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 xml:space="preserve">ии бессрочно.</w:t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</w:r>
      <w:r>
        <w:rPr>
          <w:rFonts w:ascii="Liberation Serif" w:hAnsi="Liberation Serif" w:eastAsia="Calibri" w:cs="Liberation Serif"/>
          <w:sz w:val="26"/>
          <w:szCs w:val="26"/>
          <w:lang w:eastAsia="en-US" w:bidi="ar-SA"/>
        </w:rPr>
        <w:tab/>
        <w:t xml:space="preserve">6.16. Погребение умерших (погибших), личность которых не установлена либо личность которых установлена, но отсутствует лицо, взявшее на себя обязанность по погребению, обеспечивается территориальным управлением.</w:t>
      </w:r>
      <w:r/>
    </w:p>
    <w:p>
      <w:pPr>
        <w:pStyle w:val="640"/>
        <w:jc w:val="both"/>
        <w:spacing w:line="360" w:lineRule="auto"/>
      </w:pPr>
      <w:r>
        <w:rPr>
          <w:rFonts w:ascii="Liberation Serif" w:hAnsi="Liberation Serif" w:eastAsia="Liberation Serif" w:cs="Liberation Serif"/>
          <w:sz w:val="26"/>
        </w:rPr>
        <w:tab/>
      </w:r>
      <w:r/>
    </w:p>
    <w:sectPr>
      <w:footnotePr/>
      <w:endnotePr/>
      <w:type w:val="nextPage"/>
      <w:pgSz w:w="11906" w:h="16838" w:orient="portrait"/>
      <w:pgMar w:top="1134" w:right="567" w:bottom="1134" w:left="1701" w:header="720" w:footer="720" w:gutter="0"/>
      <w:cols w:num="1" w:sep="0" w:space="720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r>
        <w:separator/>
      </w:r>
      <w:r/>
    </w:p>
  </w:endnote>
  <w:endnote w:type="continuationSeparator" w:id="0">
    <w:p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panose1 w:val="02020603050405020304"/>
  </w:font>
  <w:font w:name="Times New Roman">
    <w:panose1 w:val="02020603050405020304"/>
  </w:font>
  <w:font w:name="Symbol">
    <w:panose1 w:val="05010000000000000000"/>
  </w:font>
  <w:font w:name="Arial">
    <w:panose1 w:val="020B0604020202020204"/>
  </w:font>
  <w:font w:name="Segoe UI">
    <w:panose1 w:val="020B0502040504020204"/>
  </w:font>
  <w:font w:name="Tahoma">
    <w:panose1 w:val="020B0506030602030204"/>
  </w:font>
  <w:font w:name="Calibri">
    <w:panose1 w:val="020F05020202040302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r>
        <w:separator/>
      </w:r>
      <w:r/>
    </w:p>
  </w:footnote>
  <w:footnote w:type="continuationSeparator" w:id="0">
    <w:p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 %1."/>
      <w:lvlJc w:val="left"/>
      <w:pPr>
        <w:ind w:left="720" w:hanging="360"/>
      </w:pPr>
    </w:lvl>
    <w:lvl w:ilvl="1">
      <w:start w:val="1"/>
      <w:numFmt w:val="decimal"/>
      <w:isLgl w:val="false"/>
      <w:suff w:val="tab"/>
      <w:lvlText w:val=" %1.%2."/>
      <w:lvlJc w:val="left"/>
      <w:pPr>
        <w:ind w:left="2487" w:hanging="360"/>
      </w:pPr>
    </w:lvl>
    <w:lvl w:ilvl="2">
      <w:start w:val="1"/>
      <w:numFmt w:val="decimal"/>
      <w:isLgl w:val="false"/>
      <w:suff w:val="tab"/>
      <w:lvlText w:val=" %3)"/>
      <w:lvlJc w:val="left"/>
      <w:pPr>
        <w:ind w:left="1440" w:hanging="360"/>
      </w:pPr>
    </w:lvl>
    <w:lvl w:ilvl="3">
      <w:start w:val="1"/>
      <w:numFmt w:val="bullet"/>
      <w:isLgl w:val="false"/>
      <w:suff w:val="tab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start w:val="1"/>
      <w:numFmt w:val="bullet"/>
      <w:isLgl w:val="false"/>
      <w:suff w:val="tab"/>
      <w:lvlText w:val=""/>
      <w:lvlJc w:val="left"/>
      <w:pPr>
        <w:ind w:left="2160" w:hanging="360"/>
      </w:pPr>
      <w:rPr>
        <w:rFonts w:ascii="Symbol" w:hAnsi="Symbol" w:cs="Symbol"/>
      </w:rPr>
    </w:lvl>
    <w:lvl w:ilvl="5">
      <w:start w:val="1"/>
      <w:numFmt w:val="bullet"/>
      <w:isLgl w:val="false"/>
      <w:suff w:val="tab"/>
      <w:lvlText w:val=""/>
      <w:lvlJc w:val="left"/>
      <w:pPr>
        <w:ind w:left="2520" w:hanging="360"/>
      </w:pPr>
      <w:rPr>
        <w:rFonts w:ascii="Symbol" w:hAnsi="Symbol" w:cs="Symbol"/>
      </w:rPr>
    </w:lvl>
    <w:lvl w:ilvl="6">
      <w:start w:val="1"/>
      <w:numFmt w:val="bullet"/>
      <w:isLgl w:val="false"/>
      <w:suff w:val="tab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start w:val="1"/>
      <w:numFmt w:val="bullet"/>
      <w:isLgl w:val="false"/>
      <w:suff w:val="tab"/>
      <w:lvlText w:val=""/>
      <w:lvlJc w:val="left"/>
      <w:pPr>
        <w:ind w:left="3240" w:hanging="360"/>
      </w:pPr>
      <w:rPr>
        <w:rFonts w:ascii="Symbol" w:hAnsi="Symbol" w:cs="Symbol"/>
      </w:rPr>
    </w:lvl>
    <w:lvl w:ilvl="8">
      <w:start w:val="1"/>
      <w:numFmt w:val="bullet"/>
      <w:isLgl w:val="false"/>
      <w:suff w:val="tab"/>
      <w:lvlText w:val=""/>
      <w:lvlJc w:val="left"/>
      <w:pPr>
        <w:ind w:left="3600" w:hanging="360"/>
      </w:pPr>
      <w:rPr>
        <w:rFonts w:ascii="Symbol" w:hAnsi="Symbol" w:cs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Calibri" w:hAnsi="Calibri" w:eastAsia="Segoe UI" w:cs="Tahoma"/>
        <w:color w:val="000000"/>
        <w:sz w:val="24"/>
        <w:szCs w:val="24"/>
        <w:lang w:val="ru-RU" w:eastAsia="zh-CN" w:bidi="hi-IN"/>
      </w:rPr>
    </w:rPrDefault>
    <w:pPrDefault>
      <w:pPr>
        <w:widowControl w:val="off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2">
    <w:name w:val="Heading 1"/>
    <w:basedOn w:val="636"/>
    <w:next w:val="636"/>
    <w:link w:val="13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3">
    <w:name w:val="Heading 1 Char"/>
    <w:basedOn w:val="637"/>
    <w:link w:val="12"/>
    <w:uiPriority w:val="9"/>
    <w:rPr>
      <w:rFonts w:ascii="Arial" w:hAnsi="Arial" w:eastAsia="Arial" w:cs="Arial"/>
      <w:sz w:val="40"/>
      <w:szCs w:val="40"/>
    </w:rPr>
  </w:style>
  <w:style w:type="paragraph" w:styleId="14">
    <w:name w:val="Heading 2"/>
    <w:basedOn w:val="636"/>
    <w:next w:val="636"/>
    <w:link w:val="15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5">
    <w:name w:val="Heading 2 Char"/>
    <w:basedOn w:val="637"/>
    <w:link w:val="14"/>
    <w:uiPriority w:val="9"/>
    <w:rPr>
      <w:rFonts w:ascii="Arial" w:hAnsi="Arial" w:eastAsia="Arial" w:cs="Arial"/>
      <w:sz w:val="34"/>
    </w:rPr>
  </w:style>
  <w:style w:type="paragraph" w:styleId="16">
    <w:name w:val="Heading 3"/>
    <w:basedOn w:val="636"/>
    <w:next w:val="636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637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636"/>
    <w:next w:val="636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637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636"/>
    <w:next w:val="636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637"/>
    <w:link w:val="20"/>
    <w:uiPriority w:val="9"/>
    <w:rPr>
      <w:rFonts w:ascii="Arial" w:hAnsi="Arial" w:eastAsia="Arial" w:cs="Arial"/>
      <w:b/>
      <w:bCs/>
      <w:sz w:val="24"/>
      <w:szCs w:val="24"/>
    </w:rPr>
  </w:style>
  <w:style w:type="paragraph" w:styleId="22">
    <w:name w:val="Heading 6"/>
    <w:basedOn w:val="636"/>
    <w:next w:val="636"/>
    <w:link w:val="23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3">
    <w:name w:val="Heading 6 Char"/>
    <w:basedOn w:val="637"/>
    <w:link w:val="22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636"/>
    <w:next w:val="636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637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636"/>
    <w:next w:val="636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637"/>
    <w:link w:val="26"/>
    <w:uiPriority w:val="9"/>
    <w:rPr>
      <w:rFonts w:ascii="Arial" w:hAnsi="Arial" w:eastAsia="Arial" w:cs="Arial"/>
      <w:i/>
      <w:iCs/>
      <w:sz w:val="22"/>
      <w:szCs w:val="22"/>
    </w:rPr>
  </w:style>
  <w:style w:type="paragraph" w:styleId="28">
    <w:name w:val="Heading 9"/>
    <w:basedOn w:val="636"/>
    <w:next w:val="636"/>
    <w:link w:val="29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29">
    <w:name w:val="Heading 9 Char"/>
    <w:basedOn w:val="637"/>
    <w:link w:val="28"/>
    <w:uiPriority w:val="9"/>
    <w:rPr>
      <w:rFonts w:ascii="Arial" w:hAnsi="Arial" w:eastAsia="Arial" w:cs="Arial"/>
      <w:i/>
      <w:iCs/>
      <w:sz w:val="21"/>
      <w:szCs w:val="21"/>
    </w:rPr>
  </w:style>
  <w:style w:type="paragraph" w:styleId="30">
    <w:name w:val="List Paragraph"/>
    <w:basedOn w:val="636"/>
    <w:uiPriority w:val="34"/>
    <w:qFormat/>
    <w:pPr>
      <w:contextualSpacing/>
      <w:ind w:left="720"/>
    </w:pPr>
  </w:style>
  <w:style w:type="paragraph" w:styleId="32">
    <w:name w:val="No Spacing"/>
    <w:uiPriority w:val="1"/>
    <w:qFormat/>
    <w:pPr>
      <w:spacing w:before="0" w:after="0" w:line="240" w:lineRule="auto"/>
    </w:pPr>
  </w:style>
  <w:style w:type="paragraph" w:styleId="33">
    <w:name w:val="Title"/>
    <w:basedOn w:val="636"/>
    <w:next w:val="636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637"/>
    <w:link w:val="33"/>
    <w:uiPriority w:val="10"/>
    <w:rPr>
      <w:sz w:val="48"/>
      <w:szCs w:val="48"/>
    </w:rPr>
  </w:style>
  <w:style w:type="paragraph" w:styleId="35">
    <w:name w:val="Subtitle"/>
    <w:basedOn w:val="636"/>
    <w:next w:val="636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637"/>
    <w:link w:val="35"/>
    <w:uiPriority w:val="11"/>
    <w:rPr>
      <w:sz w:val="24"/>
      <w:szCs w:val="24"/>
    </w:rPr>
  </w:style>
  <w:style w:type="paragraph" w:styleId="37">
    <w:name w:val="Quote"/>
    <w:basedOn w:val="636"/>
    <w:next w:val="636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636"/>
    <w:next w:val="636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paragraph" w:styleId="41">
    <w:name w:val="Header"/>
    <w:basedOn w:val="636"/>
    <w:link w:val="4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2">
    <w:name w:val="Header Char"/>
    <w:basedOn w:val="637"/>
    <w:link w:val="41"/>
    <w:uiPriority w:val="99"/>
  </w:style>
  <w:style w:type="paragraph" w:styleId="43">
    <w:name w:val="Footer"/>
    <w:basedOn w:val="636"/>
    <w:link w:val="4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4">
    <w:name w:val="Footer Char"/>
    <w:basedOn w:val="637"/>
    <w:link w:val="43"/>
    <w:uiPriority w:val="99"/>
  </w:style>
  <w:style w:type="paragraph" w:styleId="45">
    <w:name w:val="Caption"/>
    <w:basedOn w:val="636"/>
    <w:next w:val="636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43"/>
    <w:uiPriority w:val="99"/>
  </w:style>
  <w:style w:type="table" w:styleId="47">
    <w:name w:val="Table Grid"/>
    <w:basedOn w:val="638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Table Grid Light"/>
    <w:basedOn w:val="638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638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638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638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7">
    <w:name w:val="List Table 7 Colorful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8">
    <w:name w:val="List Table 7 Colorful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49">
    <w:name w:val="List Table 7 Colorful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0">
    <w:name w:val="List Table 7 Colorful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1">
    <w:name w:val="List Table 7 Colorful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2">
    <w:name w:val="Lined - Accent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4">
    <w:name w:val="Lined - Accent 2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5">
    <w:name w:val="Lined - Accent 3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6">
    <w:name w:val="Lined - Accent 4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7">
    <w:name w:val="Lined - Accent 5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8">
    <w:name w:val="Lined - Accent 6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59">
    <w:name w:val="Bordered &amp; Lined - Accent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1">
    <w:name w:val="Bordered &amp; Lined - Accent 2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2">
    <w:name w:val="Bordered &amp; Lined - Accent 3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3">
    <w:name w:val="Bordered &amp; Lined - Accent 4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4">
    <w:name w:val="Bordered &amp; Lined - Accent 5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5">
    <w:name w:val="Bordered &amp; Lined - Accent 6"/>
    <w:basedOn w:val="63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6">
    <w:name w:val="Bordered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638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636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637"/>
    <w:uiPriority w:val="99"/>
    <w:unhideWhenUsed/>
    <w:rPr>
      <w:vertAlign w:val="superscript"/>
    </w:rPr>
  </w:style>
  <w:style w:type="paragraph" w:styleId="177">
    <w:name w:val="endnote text"/>
    <w:basedOn w:val="636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637"/>
    <w:uiPriority w:val="99"/>
    <w:semiHidden/>
    <w:unhideWhenUsed/>
    <w:rPr>
      <w:vertAlign w:val="superscript"/>
    </w:rPr>
  </w:style>
  <w:style w:type="paragraph" w:styleId="180">
    <w:name w:val="toc 1"/>
    <w:basedOn w:val="636"/>
    <w:next w:val="636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636"/>
    <w:next w:val="636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636"/>
    <w:next w:val="636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636"/>
    <w:next w:val="636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636"/>
    <w:next w:val="636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636"/>
    <w:next w:val="636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636"/>
    <w:next w:val="636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636"/>
    <w:next w:val="636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636"/>
    <w:next w:val="636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636"/>
    <w:next w:val="636"/>
    <w:uiPriority w:val="99"/>
    <w:unhideWhenUsed/>
    <w:pPr>
      <w:spacing w:after="0" w:afterAutospacing="0"/>
    </w:pPr>
  </w:style>
  <w:style w:type="paragraph" w:styleId="636" w:default="1">
    <w:name w:val="Normal"/>
  </w:style>
  <w:style w:type="character" w:styleId="637" w:default="1">
    <w:name w:val="Default Paragraph Font"/>
    <w:uiPriority w:val="1"/>
    <w:semiHidden/>
    <w:unhideWhenUsed/>
  </w:style>
  <w:style w:type="table" w:styleId="638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39" w:default="1">
    <w:name w:val="No List"/>
    <w:uiPriority w:val="99"/>
    <w:semiHidden/>
    <w:unhideWhenUsed/>
  </w:style>
  <w:style w:type="paragraph" w:styleId="640" w:customStyle="1">
    <w:name w:val="Standard"/>
  </w:style>
  <w:style w:type="paragraph" w:styleId="641" w:customStyle="1">
    <w:name w:val="Table Contents"/>
    <w:basedOn w:val="640"/>
    <w:pPr>
      <w:suppressLineNumbers/>
    </w:pPr>
  </w:style>
  <w:style w:type="character" w:styleId="642" w:customStyle="1">
    <w:name w:val="WW8Num1z3"/>
    <w:rPr>
      <w:rFonts w:ascii="Symbol" w:hAnsi="Symbol" w:cs="Symbol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image" Target="media/image1.png"/><Relationship Id="rId10" Type="http://schemas.openxmlformats.org/officeDocument/2006/relationships/oleObject" Target="embeddings/oleObject1.bin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R7-Office/7.2.0.134</Application>
  <Company/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А. Тищенко</dc:creator>
  <cp:lastModifiedBy>Светлана Инженер</cp:lastModifiedBy>
  <cp:revision>3</cp:revision>
  <dcterms:created xsi:type="dcterms:W3CDTF">2023-02-03T13:49:00Z</dcterms:created>
  <dcterms:modified xsi:type="dcterms:W3CDTF">2023-05-15T13:37:58Z</dcterms:modified>
</cp:coreProperties>
</file>