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23C0" w:rsidRDefault="00A423C0" w:rsidP="00A423C0">
      <w:pPr>
        <w:suppressAutoHyphens/>
        <w:ind w:left="4678"/>
        <w:jc w:val="center"/>
      </w:pPr>
      <w:r>
        <w:t xml:space="preserve">Приложение № 2  </w:t>
      </w:r>
    </w:p>
    <w:p w:rsidR="00A423C0" w:rsidRDefault="00A423C0" w:rsidP="00A423C0">
      <w:pPr>
        <w:tabs>
          <w:tab w:val="left" w:pos="708"/>
        </w:tabs>
        <w:suppressAutoHyphens/>
        <w:ind w:left="4678"/>
        <w:jc w:val="center"/>
        <w:rPr>
          <w:rFonts w:eastAsia="Calibri"/>
          <w:i/>
          <w:sz w:val="26"/>
          <w:szCs w:val="26"/>
        </w:rPr>
      </w:pPr>
      <w:r>
        <w:t>к административному регламенту</w:t>
      </w:r>
    </w:p>
    <w:p w:rsidR="00A423C0" w:rsidRDefault="00A423C0" w:rsidP="00A423C0">
      <w:pPr>
        <w:suppressAutoHyphens/>
        <w:autoSpaceDE w:val="0"/>
        <w:jc w:val="both"/>
        <w:rPr>
          <w:rFonts w:eastAsia="Calibri"/>
          <w:i/>
          <w:sz w:val="26"/>
          <w:szCs w:val="26"/>
        </w:rPr>
      </w:pPr>
    </w:p>
    <w:p w:rsidR="00A423C0" w:rsidRPr="00746FC3" w:rsidRDefault="00A423C0" w:rsidP="00A423C0">
      <w:pPr>
        <w:autoSpaceDE w:val="0"/>
        <w:jc w:val="center"/>
        <w:rPr>
          <w:b/>
          <w:sz w:val="22"/>
          <w:szCs w:val="22"/>
        </w:rPr>
      </w:pPr>
      <w:bookmarkStart w:id="0" w:name="_GoBack"/>
      <w:r w:rsidRPr="00746FC3">
        <w:rPr>
          <w:b/>
          <w:caps/>
          <w:spacing w:val="100"/>
          <w:sz w:val="22"/>
          <w:szCs w:val="22"/>
        </w:rPr>
        <w:t xml:space="preserve">Ходатайство </w:t>
      </w:r>
    </w:p>
    <w:p w:rsidR="00A423C0" w:rsidRPr="00746FC3" w:rsidRDefault="00A423C0" w:rsidP="00A423C0">
      <w:pPr>
        <w:autoSpaceDE w:val="0"/>
        <w:jc w:val="center"/>
        <w:rPr>
          <w:b/>
        </w:rPr>
      </w:pPr>
      <w:r w:rsidRPr="00746FC3">
        <w:rPr>
          <w:b/>
          <w:sz w:val="22"/>
          <w:szCs w:val="22"/>
        </w:rPr>
        <w:t>об установлении публичного сервитута</w:t>
      </w:r>
    </w:p>
    <w:bookmarkEnd w:id="0"/>
    <w:p w:rsidR="00A423C0" w:rsidRDefault="00A423C0" w:rsidP="00A423C0">
      <w:pPr>
        <w:rPr>
          <w:b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0"/>
        <w:gridCol w:w="6603"/>
        <w:gridCol w:w="2500"/>
      </w:tblGrid>
      <w:tr w:rsidR="00A423C0" w:rsidTr="00FA6E28">
        <w:trPr>
          <w:trHeight w:val="562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423C0" w:rsidRDefault="00A423C0" w:rsidP="00FA6E28">
            <w:pPr>
              <w:autoSpaceDE w:val="0"/>
              <w:ind w:left="149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……………………………………………………………………………………………..</w:t>
            </w:r>
          </w:p>
          <w:p w:rsidR="00A423C0" w:rsidRDefault="00A423C0" w:rsidP="00FA6E28">
            <w:pPr>
              <w:autoSpaceDE w:val="0"/>
              <w:ind w:left="14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(наименование органа, принимающего решение об установлении публичного </w:t>
            </w:r>
          </w:p>
          <w:p w:rsidR="00A423C0" w:rsidRDefault="00A423C0" w:rsidP="00FA6E28">
            <w:pPr>
              <w:autoSpaceDE w:val="0"/>
              <w:ind w:left="149"/>
              <w:jc w:val="center"/>
            </w:pPr>
            <w:r>
              <w:rPr>
                <w:sz w:val="22"/>
                <w:szCs w:val="22"/>
              </w:rPr>
              <w:t>сервитута)</w:t>
            </w: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9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left="149" w:right="11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Сведения о лице, представившем ходатайство об установлении публичного </w:t>
            </w:r>
          </w:p>
          <w:p w:rsidR="00A423C0" w:rsidRDefault="00A423C0" w:rsidP="00FA6E28">
            <w:pPr>
              <w:autoSpaceDE w:val="0"/>
              <w:ind w:left="149" w:right="113"/>
              <w:jc w:val="center"/>
            </w:pPr>
            <w:r>
              <w:rPr>
                <w:sz w:val="22"/>
                <w:szCs w:val="22"/>
              </w:rPr>
              <w:t>сервитута (далее – заявитель):</w:t>
            </w: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2.1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Полное наименование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2.2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Сокращённое наименование (при наличии)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2.3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Организационно-правовая форма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2.4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Почтовый адрес (индекс, субъект Российской Федерации,</w:t>
            </w:r>
          </w:p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 xml:space="preserve"> населенный пункт, улица, дом)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2.5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Адрес электронной почты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2.6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2.7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9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left="149"/>
              <w:jc w:val="center"/>
            </w:pPr>
            <w:r>
              <w:rPr>
                <w:sz w:val="22"/>
                <w:szCs w:val="22"/>
              </w:rPr>
              <w:t>Сведения о представителе заявителя:</w:t>
            </w:r>
          </w:p>
        </w:tc>
      </w:tr>
      <w:tr w:rsidR="00A423C0" w:rsidTr="00FA6E28">
        <w:trPr>
          <w:trHeight w:val="23"/>
        </w:trPr>
        <w:tc>
          <w:tcPr>
            <w:tcW w:w="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3.1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Фамилия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Имя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Отчество (при наличии)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3.2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Адрес электронной почты (при наличии)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3.3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Телефон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3.4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Наименование и реквизиты документа, подтверждающего </w:t>
            </w:r>
          </w:p>
          <w:p w:rsidR="00A423C0" w:rsidRDefault="00A423C0" w:rsidP="00FA6E28">
            <w:pPr>
              <w:autoSpaceDE w:val="0"/>
              <w:jc w:val="both"/>
            </w:pPr>
            <w:r>
              <w:rPr>
                <w:sz w:val="22"/>
                <w:szCs w:val="22"/>
              </w:rPr>
              <w:t>полномочия представителя заявителя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snapToGrid w:val="0"/>
              <w:ind w:left="149"/>
              <w:jc w:val="both"/>
              <w:rPr>
                <w:sz w:val="22"/>
                <w:szCs w:val="22"/>
              </w:rPr>
            </w:pP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9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right="11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Прошу установить публичный сервитут в отношении земель и (или) земельного участка (з</w:t>
            </w:r>
            <w:r>
              <w:rPr>
                <w:sz w:val="22"/>
                <w:szCs w:val="22"/>
              </w:rPr>
              <w:t>е</w:t>
            </w:r>
            <w:r>
              <w:rPr>
                <w:sz w:val="22"/>
                <w:szCs w:val="22"/>
              </w:rPr>
              <w:t>мельных участков) в целях (указываются цели, предусмотренные статьей 39.37. Земельного кодекса Российской Федерации или статьей 3.6., 3.9. Федерального закона от 25 декабря 2001 г. № 137-ФЗ «О введении в действие Земельного кодекса Российской Федерации»</w:t>
            </w:r>
          </w:p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………………………………………………</w:t>
            </w:r>
            <w:r>
              <w:rPr>
                <w:sz w:val="22"/>
                <w:szCs w:val="22"/>
                <w:lang w:val="en-US"/>
              </w:rPr>
              <w:t>………………………………………..</w:t>
            </w: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Испрашиваемый срок публичного сервитута ………………………</w:t>
            </w:r>
            <w:r>
              <w:rPr>
                <w:sz w:val="22"/>
                <w:szCs w:val="22"/>
                <w:lang w:val="en-US"/>
              </w:rPr>
              <w:t>……………</w:t>
            </w:r>
            <w:r>
              <w:rPr>
                <w:sz w:val="22"/>
                <w:szCs w:val="22"/>
              </w:rPr>
              <w:t>.</w:t>
            </w: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keepNext/>
              <w:autoSpaceDE w:val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9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keepNext/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Срок, в течение которого использование земельного участка (его части) и (или) расположе</w:t>
            </w:r>
            <w:r>
              <w:rPr>
                <w:sz w:val="22"/>
                <w:szCs w:val="22"/>
              </w:rPr>
              <w:t>н</w:t>
            </w:r>
            <w:r>
              <w:rPr>
                <w:sz w:val="22"/>
                <w:szCs w:val="22"/>
              </w:rPr>
              <w:t>ного на нем объекта недвижимости в соответствии с их разрешённым использованием будет в соответствии с подпунктом 4 пункта 1 статьи 39.41. Земельного кодекса Российской Федер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t>ции невозможно или существенно затруднено в связи с осуществлением деятельности, для обеспечения которой устанавливается публичный сервитут (при возникновении таких обсто</w:t>
            </w:r>
            <w:r>
              <w:rPr>
                <w:sz w:val="22"/>
                <w:szCs w:val="22"/>
              </w:rPr>
              <w:t>я</w:t>
            </w:r>
            <w:r>
              <w:rPr>
                <w:sz w:val="22"/>
                <w:szCs w:val="22"/>
              </w:rPr>
              <w:t>тельств) ……………………………………………</w:t>
            </w: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keepNext/>
              <w:autoSpaceDE w:val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9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keepNext/>
              <w:autoSpaceDE w:val="0"/>
              <w:jc w:val="both"/>
            </w:pPr>
            <w:r>
              <w:rPr>
                <w:sz w:val="22"/>
                <w:szCs w:val="22"/>
              </w:rPr>
              <w:t>Обоснование необходимости установления публичного сервитута …………..…</w:t>
            </w:r>
          </w:p>
        </w:tc>
      </w:tr>
      <w:tr w:rsidR="00A423C0" w:rsidTr="00FA6E28">
        <w:trPr>
          <w:trHeight w:val="23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9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3C0" w:rsidRDefault="00A423C0" w:rsidP="00FA6E28">
            <w:pPr>
              <w:pStyle w:val="a3"/>
              <w:autoSpaceDE w:val="0"/>
              <w:ind w:right="11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Сведения о правообладателе инженерного сооружения, которое переносится в связи с изъят</w:t>
            </w:r>
            <w:r>
              <w:rPr>
                <w:sz w:val="22"/>
                <w:szCs w:val="22"/>
              </w:rPr>
              <w:t>и</w:t>
            </w:r>
            <w:r>
              <w:rPr>
                <w:sz w:val="22"/>
                <w:szCs w:val="22"/>
              </w:rPr>
              <w:t>ем земельного участка для государственных или муниципальных нужд, а также о правообл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t>дателе инженерного сооружения, являющегося линейным объектом, реконструкция, кап</w:t>
            </w:r>
            <w:r>
              <w:rPr>
                <w:sz w:val="22"/>
                <w:szCs w:val="22"/>
              </w:rPr>
              <w:t>и</w:t>
            </w:r>
            <w:r>
              <w:rPr>
                <w:sz w:val="22"/>
                <w:szCs w:val="22"/>
              </w:rPr>
              <w:t>тальный ремонт которого (реконструкция, капитальный ремонт участков (частей) которого) осуществляются в связи с планируемым строительством, реконструкцией, капитальным р</w:t>
            </w:r>
            <w:r>
              <w:rPr>
                <w:sz w:val="22"/>
                <w:szCs w:val="22"/>
              </w:rPr>
              <w:t>е</w:t>
            </w:r>
            <w:r>
              <w:rPr>
                <w:sz w:val="22"/>
                <w:szCs w:val="22"/>
              </w:rPr>
              <w:t>монтом объектов капитального строительства, в случае, если заявитель не является правоо</w:t>
            </w:r>
            <w:r>
              <w:rPr>
                <w:sz w:val="22"/>
                <w:szCs w:val="22"/>
              </w:rPr>
              <w:t>б</w:t>
            </w:r>
            <w:r>
              <w:rPr>
                <w:sz w:val="22"/>
                <w:szCs w:val="22"/>
              </w:rPr>
              <w:t>ладателем указанного инженерного сооружения (в данном случае указываются сведения в объеме, предусмотренном</w:t>
            </w:r>
            <w:r>
              <w:rPr>
                <w:color w:val="000000"/>
                <w:sz w:val="22"/>
                <w:szCs w:val="22"/>
              </w:rPr>
              <w:t xml:space="preserve"> строкой 2 наст</w:t>
            </w:r>
            <w:r>
              <w:rPr>
                <w:sz w:val="22"/>
                <w:szCs w:val="22"/>
              </w:rPr>
              <w:t>оящей формы) (заполняется в случае, если ходата</w:t>
            </w:r>
            <w:r>
              <w:rPr>
                <w:sz w:val="22"/>
                <w:szCs w:val="22"/>
              </w:rPr>
              <w:t>й</w:t>
            </w:r>
            <w:r>
              <w:rPr>
                <w:sz w:val="22"/>
                <w:szCs w:val="22"/>
              </w:rPr>
              <w:t>ство об установлении публичного сервитута подается с целью установления публичного се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витута в целях реконструкции инженерного сооружения, являющегося линейным объектом, реконструкции его участка (части), которое переносится в связи с изъятием такого земельного участка для государственных или муниципальных нужд, а также если ходатайство об уст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t>новлении публичного сервитута подается с целью установления публичного сервитута в ц</w:t>
            </w:r>
            <w:r>
              <w:rPr>
                <w:sz w:val="22"/>
                <w:szCs w:val="22"/>
              </w:rPr>
              <w:t>е</w:t>
            </w:r>
            <w:r>
              <w:rPr>
                <w:sz w:val="22"/>
                <w:szCs w:val="22"/>
              </w:rPr>
              <w:t>лях реконструкции, капитального ремонта инженерного сооружения, являющегося линейным объектом, реконструкции, капитального ремонта его участков (частей)</w:t>
            </w:r>
          </w:p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lastRenderedPageBreak/>
              <w:t>…………………………………………………</w:t>
            </w:r>
            <w:r>
              <w:rPr>
                <w:sz w:val="22"/>
                <w:szCs w:val="22"/>
                <w:lang w:val="en-US"/>
              </w:rPr>
              <w:t>……………………………………..</w:t>
            </w:r>
          </w:p>
        </w:tc>
      </w:tr>
    </w:tbl>
    <w:p w:rsidR="00A423C0" w:rsidRDefault="00A423C0" w:rsidP="00A423C0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25</w:t>
      </w:r>
    </w:p>
    <w:p w:rsidR="00A423C0" w:rsidRDefault="00A423C0" w:rsidP="00A423C0">
      <w:pPr>
        <w:rPr>
          <w:sz w:val="22"/>
          <w:szCs w:val="22"/>
        </w:rPr>
      </w:pPr>
    </w:p>
    <w:tbl>
      <w:tblPr>
        <w:tblW w:w="5000" w:type="pc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27"/>
        <w:gridCol w:w="7528"/>
        <w:gridCol w:w="1356"/>
      </w:tblGrid>
      <w:tr w:rsidR="00A423C0" w:rsidTr="00FA6E28">
        <w:tc>
          <w:tcPr>
            <w:tcW w:w="538" w:type="dxa"/>
            <w:tcBorders>
              <w:top w:val="none" w:sz="1" w:space="0" w:color="000000"/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9100" w:type="dxa"/>
            <w:gridSpan w:val="2"/>
            <w:tcBorders>
              <w:top w:val="none" w:sz="1" w:space="0" w:color="000000"/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Кадастровые номера земельных участков (при их наличии), в отношении которых подано х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датайство об установлении публичного сервитута, адреса или иное описание местоположения таких земельных участков …………………….</w:t>
            </w:r>
          </w:p>
        </w:tc>
      </w:tr>
      <w:tr w:rsidR="00A423C0" w:rsidTr="00FA6E28">
        <w:tc>
          <w:tcPr>
            <w:tcW w:w="538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9100" w:type="dxa"/>
            <w:gridSpan w:val="2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Право, на котором инженерное сооружение принадлежит заявителю (если подано ходатайство об установлении публичного сервитута для реконструкции, капитального ремонта или экспл</w:t>
            </w:r>
            <w:r>
              <w:rPr>
                <w:sz w:val="22"/>
                <w:szCs w:val="22"/>
              </w:rPr>
              <w:t>у</w:t>
            </w:r>
            <w:r>
              <w:rPr>
                <w:sz w:val="22"/>
                <w:szCs w:val="22"/>
              </w:rPr>
              <w:t>атации указанного инженерного сооружения, реконструкции или капитального ремонта учас</w:t>
            </w:r>
            <w:r>
              <w:rPr>
                <w:sz w:val="22"/>
                <w:szCs w:val="22"/>
              </w:rPr>
              <w:t>т</w:t>
            </w:r>
            <w:r>
              <w:rPr>
                <w:sz w:val="22"/>
                <w:szCs w:val="22"/>
              </w:rPr>
              <w:t>ка (части) инженерного сооружения, являющегося линейным объектом) (предоставление правоустанавливающих документов на линейный объект не требуется в случае, если ходата</w:t>
            </w:r>
            <w:r>
              <w:rPr>
                <w:sz w:val="22"/>
                <w:szCs w:val="22"/>
              </w:rPr>
              <w:t>й</w:t>
            </w:r>
            <w:r>
              <w:rPr>
                <w:sz w:val="22"/>
                <w:szCs w:val="22"/>
              </w:rPr>
              <w:t>ство об установлении публичного сервитута подано в соответствии с</w:t>
            </w:r>
            <w:r>
              <w:rPr>
                <w:color w:val="000000"/>
                <w:sz w:val="22"/>
                <w:szCs w:val="22"/>
              </w:rPr>
              <w:t>о статьей 3.9.</w:t>
            </w:r>
            <w:r>
              <w:rPr>
                <w:sz w:val="22"/>
                <w:szCs w:val="22"/>
              </w:rPr>
              <w:t xml:space="preserve"> Федерал</w:t>
            </w:r>
            <w:r>
              <w:rPr>
                <w:sz w:val="22"/>
                <w:szCs w:val="22"/>
              </w:rPr>
              <w:t>ь</w:t>
            </w:r>
            <w:r>
              <w:rPr>
                <w:sz w:val="22"/>
                <w:szCs w:val="22"/>
              </w:rPr>
              <w:t>ного закона от 25 октября 2001 г. N 137-ФЗ "О введении в действие Земельного кодекса Ро</w:t>
            </w:r>
            <w:r>
              <w:rPr>
                <w:sz w:val="22"/>
                <w:szCs w:val="22"/>
              </w:rPr>
              <w:t>с</w:t>
            </w:r>
            <w:r>
              <w:rPr>
                <w:sz w:val="22"/>
                <w:szCs w:val="22"/>
              </w:rPr>
              <w:t xml:space="preserve">сийской Федерации) ……………………………….. </w:t>
            </w:r>
          </w:p>
        </w:tc>
      </w:tr>
      <w:tr w:rsidR="00A423C0" w:rsidTr="00FA6E28">
        <w:tc>
          <w:tcPr>
            <w:tcW w:w="538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9100" w:type="dxa"/>
            <w:gridSpan w:val="2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Сведения о способах представления результатов рассмотрения ходатайства:</w:t>
            </w:r>
          </w:p>
        </w:tc>
      </w:tr>
      <w:tr w:rsidR="00A423C0" w:rsidTr="00FA6E28">
        <w:tc>
          <w:tcPr>
            <w:tcW w:w="538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pStyle w:val="a6"/>
            </w:pPr>
          </w:p>
        </w:tc>
        <w:tc>
          <w:tcPr>
            <w:tcW w:w="7712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в виде электронного документа, который направляется уполномоченным орг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t>ном заявителю посредством электронной почты</w:t>
            </w:r>
          </w:p>
        </w:tc>
        <w:tc>
          <w:tcPr>
            <w:tcW w:w="1388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left="149" w:right="113"/>
              <w:jc w:val="center"/>
            </w:pPr>
            <w:r>
              <w:rPr>
                <w:sz w:val="22"/>
                <w:szCs w:val="22"/>
              </w:rPr>
              <w:t>да/нет</w:t>
            </w:r>
          </w:p>
        </w:tc>
      </w:tr>
      <w:tr w:rsidR="00A423C0" w:rsidTr="00FA6E28">
        <w:tc>
          <w:tcPr>
            <w:tcW w:w="538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pStyle w:val="a6"/>
            </w:pPr>
          </w:p>
        </w:tc>
        <w:tc>
          <w:tcPr>
            <w:tcW w:w="7712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в виде бумажного документа, который заявитель получает непосредственно при личном обращении или посредством почтового отправления</w:t>
            </w:r>
          </w:p>
        </w:tc>
        <w:tc>
          <w:tcPr>
            <w:tcW w:w="1388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left="149" w:right="113"/>
              <w:jc w:val="center"/>
            </w:pPr>
            <w:r>
              <w:rPr>
                <w:sz w:val="22"/>
                <w:szCs w:val="22"/>
              </w:rPr>
              <w:t>да/нет</w:t>
            </w:r>
          </w:p>
        </w:tc>
      </w:tr>
      <w:tr w:rsidR="00A423C0" w:rsidTr="00FA6E28">
        <w:tc>
          <w:tcPr>
            <w:tcW w:w="538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9100" w:type="dxa"/>
            <w:gridSpan w:val="2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Документы, прилагаемые к ходатайству: ……………………………………</w:t>
            </w:r>
            <w:r>
              <w:rPr>
                <w:sz w:val="22"/>
                <w:szCs w:val="22"/>
                <w:lang w:val="en-US"/>
              </w:rPr>
              <w:t>……</w:t>
            </w:r>
          </w:p>
        </w:tc>
      </w:tr>
      <w:tr w:rsidR="00A423C0" w:rsidTr="00FA6E28">
        <w:tc>
          <w:tcPr>
            <w:tcW w:w="538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9100" w:type="dxa"/>
            <w:gridSpan w:val="2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Подтверждаю согласие на обработку персональных данных (сбор, систематизацию, накопл</w:t>
            </w:r>
            <w:r>
              <w:rPr>
                <w:sz w:val="22"/>
                <w:szCs w:val="22"/>
              </w:rPr>
              <w:t>е</w:t>
            </w:r>
            <w:r>
              <w:rPr>
                <w:sz w:val="22"/>
                <w:szCs w:val="22"/>
              </w:rPr>
              <w:t>ние, хранение, уточнение (обновление, изменение), использование, распространение (в том числе передачу), обезличивание, блокирование,</w:t>
            </w:r>
            <w:r>
              <w:rPr>
                <w:sz w:val="22"/>
                <w:szCs w:val="22"/>
              </w:rPr>
              <w:br/>
              <w:t>уничтожение персональных данных, а также иных действий, необходимых для обработки пе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сональных данных в соответствии с законодательством Российской Федерации), в том числе в автоматизированном режиме</w:t>
            </w:r>
          </w:p>
        </w:tc>
      </w:tr>
      <w:tr w:rsidR="00A423C0" w:rsidTr="00FA6E28">
        <w:tc>
          <w:tcPr>
            <w:tcW w:w="538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jc w:val="center"/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9100" w:type="dxa"/>
            <w:gridSpan w:val="2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A423C0" w:rsidRDefault="00A423C0" w:rsidP="00FA6E28">
            <w:pPr>
              <w:autoSpaceDE w:val="0"/>
              <w:ind w:right="113"/>
              <w:jc w:val="both"/>
            </w:pPr>
            <w:r>
              <w:rPr>
                <w:sz w:val="22"/>
                <w:szCs w:val="22"/>
              </w:rPr>
              <w:t>Подтверждаю, что сведения, указанные в настоящем ходатайстве, на дату представления ход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t>тайства достоверны; документы (копии документов) и содержащиеся в них сведения соотве</w:t>
            </w:r>
            <w:r>
              <w:rPr>
                <w:sz w:val="22"/>
                <w:szCs w:val="22"/>
              </w:rPr>
              <w:t>т</w:t>
            </w:r>
            <w:r>
              <w:rPr>
                <w:sz w:val="22"/>
                <w:szCs w:val="22"/>
              </w:rPr>
              <w:t>ствуют требованиям, установленным статьей 39.41. Земельного кодекса Российской Федер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t>ции</w:t>
            </w:r>
          </w:p>
        </w:tc>
      </w:tr>
    </w:tbl>
    <w:p w:rsidR="00A423C0" w:rsidRDefault="00A423C0" w:rsidP="00A423C0">
      <w:pPr>
        <w:rPr>
          <w:sz w:val="22"/>
          <w:szCs w:val="22"/>
        </w:rPr>
      </w:pPr>
    </w:p>
    <w:p w:rsidR="00A423C0" w:rsidRDefault="00A423C0" w:rsidP="00A423C0">
      <w:pPr>
        <w:rPr>
          <w:sz w:val="22"/>
          <w:szCs w:val="22"/>
        </w:rPr>
      </w:pPr>
    </w:p>
    <w:p w:rsidR="00A423C0" w:rsidRDefault="00A423C0" w:rsidP="00A423C0">
      <w:pPr>
        <w:rPr>
          <w:sz w:val="22"/>
          <w:szCs w:val="22"/>
        </w:rPr>
      </w:pPr>
      <w:r>
        <w:rPr>
          <w:sz w:val="22"/>
          <w:szCs w:val="22"/>
        </w:rPr>
        <w:t>……………………</w:t>
      </w:r>
      <w:r>
        <w:rPr>
          <w:sz w:val="22"/>
          <w:szCs w:val="22"/>
          <w:lang w:val="en-US"/>
        </w:rPr>
        <w:t>.</w:t>
      </w:r>
      <w:r>
        <w:rPr>
          <w:sz w:val="22"/>
          <w:szCs w:val="22"/>
        </w:rPr>
        <w:t>.         ……………………</w:t>
      </w:r>
      <w:r>
        <w:rPr>
          <w:sz w:val="22"/>
          <w:szCs w:val="22"/>
          <w:lang w:val="en-US"/>
        </w:rPr>
        <w:t>...</w:t>
      </w:r>
      <w:r>
        <w:rPr>
          <w:sz w:val="22"/>
          <w:szCs w:val="22"/>
        </w:rPr>
        <w:t>……..            «……»……………. 20….. г.</w:t>
      </w:r>
    </w:p>
    <w:p w:rsidR="00A423C0" w:rsidRDefault="00A423C0" w:rsidP="00A423C0">
      <w:pPr>
        <w:rPr>
          <w:b/>
          <w:spacing w:val="120"/>
          <w:sz w:val="22"/>
          <w:szCs w:val="22"/>
        </w:rPr>
      </w:pPr>
      <w:r>
        <w:rPr>
          <w:sz w:val="22"/>
          <w:szCs w:val="22"/>
        </w:rPr>
        <w:t xml:space="preserve">         (подпись)                            (фамилия, инициалы)</w:t>
      </w:r>
    </w:p>
    <w:p w:rsidR="00A423C0" w:rsidRDefault="00A423C0" w:rsidP="00A423C0">
      <w:pPr>
        <w:tabs>
          <w:tab w:val="left" w:pos="708"/>
        </w:tabs>
        <w:suppressAutoHyphens/>
        <w:jc w:val="both"/>
        <w:rPr>
          <w:b/>
          <w:spacing w:val="120"/>
          <w:sz w:val="22"/>
          <w:szCs w:val="22"/>
        </w:rPr>
      </w:pPr>
    </w:p>
    <w:p w:rsidR="00A423C0" w:rsidRDefault="00A423C0" w:rsidP="00A423C0">
      <w:pPr>
        <w:pStyle w:val="a5"/>
        <w:jc w:val="both"/>
        <w:rPr>
          <w:rFonts w:ascii="Times New Roman" w:hAnsi="Times New Roman" w:cs="Times New Roman"/>
          <w:b/>
          <w:spacing w:val="120"/>
          <w:sz w:val="24"/>
          <w:szCs w:val="24"/>
          <w:lang w:val="ru-RU" w:eastAsia="ru-RU"/>
        </w:rPr>
      </w:pPr>
    </w:p>
    <w:p w:rsidR="00A423C0" w:rsidRDefault="00A423C0" w:rsidP="00A423C0">
      <w:pPr>
        <w:pStyle w:val="a5"/>
        <w:jc w:val="both"/>
        <w:rPr>
          <w:rFonts w:ascii="Times New Roman" w:hAnsi="Times New Roman" w:cs="Times New Roman"/>
          <w:b/>
          <w:spacing w:val="120"/>
          <w:sz w:val="24"/>
          <w:szCs w:val="24"/>
          <w:lang w:val="ru-RU" w:eastAsia="ru-RU"/>
        </w:rPr>
      </w:pPr>
    </w:p>
    <w:p w:rsidR="00A423C0" w:rsidRDefault="00A423C0" w:rsidP="00A423C0">
      <w:pPr>
        <w:pStyle w:val="a5"/>
        <w:jc w:val="center"/>
        <w:rPr>
          <w:rFonts w:ascii="Times New Roman" w:hAnsi="Times New Roman" w:cs="Times New Roman"/>
          <w:sz w:val="24"/>
          <w:szCs w:val="24"/>
          <w:lang w:val="en-US" w:eastAsia="ru-RU"/>
        </w:rPr>
      </w:pPr>
    </w:p>
    <w:p w:rsidR="00A423C0" w:rsidRDefault="00A423C0" w:rsidP="00A423C0">
      <w:pPr>
        <w:pStyle w:val="a5"/>
        <w:jc w:val="center"/>
        <w:rPr>
          <w:rFonts w:ascii="Times New Roman" w:hAnsi="Times New Roman" w:cs="Times New Roman"/>
          <w:sz w:val="24"/>
          <w:szCs w:val="24"/>
          <w:lang w:val="en-US" w:eastAsia="ru-RU"/>
        </w:rPr>
      </w:pPr>
    </w:p>
    <w:p w:rsidR="00A423C0" w:rsidRDefault="00A423C0" w:rsidP="00A423C0">
      <w:pPr>
        <w:pStyle w:val="a5"/>
        <w:jc w:val="center"/>
      </w:pPr>
    </w:p>
    <w:p w:rsidR="003674E3" w:rsidRDefault="003674E3"/>
    <w:sectPr w:rsidR="003674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6D1"/>
    <w:rsid w:val="003674E3"/>
    <w:rsid w:val="00746FC3"/>
    <w:rsid w:val="00A423C0"/>
    <w:rsid w:val="00D35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23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423C0"/>
    <w:pPr>
      <w:jc w:val="both"/>
    </w:pPr>
    <w:rPr>
      <w:sz w:val="26"/>
    </w:rPr>
  </w:style>
  <w:style w:type="character" w:customStyle="1" w:styleId="a4">
    <w:name w:val="Основной текст Знак"/>
    <w:basedOn w:val="a0"/>
    <w:link w:val="a3"/>
    <w:rsid w:val="00A423C0"/>
    <w:rPr>
      <w:rFonts w:ascii="Times New Roman" w:eastAsia="Times New Roman" w:hAnsi="Times New Roman" w:cs="Times New Roman"/>
      <w:sz w:val="26"/>
      <w:szCs w:val="24"/>
      <w:lang w:eastAsia="zh-CN"/>
    </w:rPr>
  </w:style>
  <w:style w:type="paragraph" w:styleId="a5">
    <w:name w:val="No Spacing"/>
    <w:qFormat/>
    <w:rsid w:val="00A423C0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a6">
    <w:name w:val="Содержимое таблицы"/>
    <w:basedOn w:val="a"/>
    <w:rsid w:val="00A423C0"/>
    <w:pPr>
      <w:widowControl w:val="0"/>
      <w:suppressLineNumbers/>
      <w:suppressAutoHyphens/>
    </w:pPr>
    <w:rPr>
      <w:rFonts w:eastAsia="Andale Sans UI"/>
      <w:kern w:val="2"/>
      <w:lang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23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423C0"/>
    <w:pPr>
      <w:jc w:val="both"/>
    </w:pPr>
    <w:rPr>
      <w:sz w:val="26"/>
    </w:rPr>
  </w:style>
  <w:style w:type="character" w:customStyle="1" w:styleId="a4">
    <w:name w:val="Основной текст Знак"/>
    <w:basedOn w:val="a0"/>
    <w:link w:val="a3"/>
    <w:rsid w:val="00A423C0"/>
    <w:rPr>
      <w:rFonts w:ascii="Times New Roman" w:eastAsia="Times New Roman" w:hAnsi="Times New Roman" w:cs="Times New Roman"/>
      <w:sz w:val="26"/>
      <w:szCs w:val="24"/>
      <w:lang w:eastAsia="zh-CN"/>
    </w:rPr>
  </w:style>
  <w:style w:type="paragraph" w:styleId="a5">
    <w:name w:val="No Spacing"/>
    <w:qFormat/>
    <w:rsid w:val="00A423C0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a6">
    <w:name w:val="Содержимое таблицы"/>
    <w:basedOn w:val="a"/>
    <w:rsid w:val="00A423C0"/>
    <w:pPr>
      <w:widowControl w:val="0"/>
      <w:suppressLineNumbers/>
      <w:suppressAutoHyphens/>
    </w:pPr>
    <w:rPr>
      <w:rFonts w:eastAsia="Andale Sans UI"/>
      <w:kern w:val="2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772</Words>
  <Characters>4405</Characters>
  <Application>Microsoft Office Word</Application>
  <DocSecurity>0</DocSecurity>
  <Lines>36</Lines>
  <Paragraphs>10</Paragraphs>
  <ScaleCrop>false</ScaleCrop>
  <Company/>
  <LinksUpToDate>false</LinksUpToDate>
  <CharactersWithSpaces>5167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3</cp:revision>
  <dcterms:created xsi:type="dcterms:W3CDTF">2025-04-21T07:50:00Z</dcterms:created>
  <dcterms:modified xsi:type="dcterms:W3CDTF">2025-04-21T07:50:00Z</dcterms:modified>
</cp:coreProperties>
</file>