
<file path=[Content_Types].xml><?xml version="1.0" encoding="utf-8"?>
<Types xmlns="http://schemas.openxmlformats.org/package/2006/content-types">
  <Default Extension="png" ContentType="image/png"/>
  <Default Extension="jpeg" ContentType="image/jpeg"/>
  <Default Extension="bmp" ContentType="image/bmp"/>
  <Default Extension="rels" ContentType="application/vnd.openxmlformats-package.relationships+xml"/>
  <Default Extension="xml" ContentType="application/xml"/>
  <Default Extension="emf" ContentType="image/x-emf"/>
  <Default Extension="wmf" ContentType="image/x-wmf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</Types>
</file>

<file path=_rels/.rels>&#65279;<?xml version="1.0" encoding="UTF-8" standalone="yes"?>
<Relationships xmlns="http://schemas.openxmlformats.org/package/2006/relationships">
	<Relationship Id="rId1" Type="http://schemas.openxmlformats.org/officeDocument/2006/relationships/officeDocument" Target="word/document.xml"/>
	<Relationship Id="rId2" Type="http://schemas.openxmlformats.org/package/2006/relationships/metadata/core-properties" Target="docProps/core.xml"/>
	<Relationship Id="rId3" Type="http://schemas.openxmlformats.org/officeDocument/2006/relationships/extended-properties" Target="docProps/app.xml"/>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Ind w:w="0" w:type="dxa"/>
        <w:tblW w:w="5000" w:type="pct"/>
        <w:tblBorders>
          <w:top w:val="nil"/>
          <w:left w:val="nil"/>
          <w:bottom w:val="nil"/>
          <w:right w:val="nil"/>
          <w:insideV w:val="nil"/>
          <w:insideH w:val="nil"/>
        </w:tblBorders>
      </w:tblPr>
      <w:tblGrid>
        <w:gridCol w:w="10716"/>
      </w:tblGrid>
      <w:tr>
        <w:trPr>
          <w:trHeight w:val="3031" w:hRule="exact"/>
        </w:trPr>
        <w:tblPrEx>
          <w:tblBorders>
            <w:top w:val="nil"/>
            <w:left w:val="nil"/>
            <w:bottom w:val="nil"/>
            <w:right w:val="nil"/>
            <w:insideV w:val="nil"/>
            <w:insideH w:val="nil"/>
          </w:tblBorders>
        </w:tblPrEx>
        <w:tc>
          <w:tcPr>
            <w:tcW w:w="10716" w:type="dxa"/>
            <w:tcMar>
              <w:top w:w="60" w:type="dxa"/>
              <w:left w:w="80" w:type="dxa"/>
              <w:bottom w:w="60" w:type="dxa"/>
              <w:right w:w="80" w:type="dxa"/>
            </w:tcMar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5"/>
            </w:pPr>
            <w:r>
              <w:rPr>
                <w:position w:val="-61"/>
              </w:rPr>
              <w:drawing>
                <wp:inline distT="0" distB="0" distL="0" distR="0">
                  <wp:extent cx="3810000" cy="904875"/>
                  <wp:effectExtent l="0" t="0" r="0" b="0"/>
                  <wp:docPr id="1" name="Консультант Плюс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 preferRelativeResize="0"/>
                        </pic:nvPicPr>
                        <pic:blipFill>
                          <a:blip r:embed="rId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0" cy="904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rPr>
          <w:trHeight w:val="8335" w:hRule="exact"/>
        </w:trPr>
        <w:tblPrEx>
          <w:tblBorders>
            <w:top w:val="nil"/>
            <w:left w:val="nil"/>
            <w:bottom w:val="nil"/>
            <w:right w:val="nil"/>
            <w:insideV w:val="nil"/>
            <w:insideH w:val="nil"/>
          </w:tblBorders>
        </w:tblPrEx>
        <w:tc>
          <w:tcPr>
            <w:tcW w:w="10716" w:type="dxa"/>
            <w:vAlign w:val="center"/>
            <w:tcMar>
              <w:top w:w="60" w:type="dxa"/>
              <w:left w:w="80" w:type="dxa"/>
              <w:bottom w:w="60" w:type="dxa"/>
              <w:right w:w="80" w:type="dxa"/>
            </w:tcMar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5"/>
              <w:jc w:val="center"/>
            </w:pPr>
            <w:r>
              <w:rPr>
                <w:sz w:val="48"/>
              </w:rPr>
              <w:t xml:space="preserve">Приказ Департамента труда и занятости населения Вологодской области от 26.07.2012 N 357</w:t>
              <w:br/>
              <w:t xml:space="preserve">(ред. от 18.06.2025)</w:t>
              <w:br/>
              <w:t xml:space="preserve">"Об утверждении административного регламента"</w:t>
              <w:br/>
              <w:t xml:space="preserve">(вместе с "Административным регламентом предоставления государственной услуги по уведомительной регистрации региональных, отраслевых (региональных и территориальных), межотраслевых (региональных и территориальных), территориальных соглашений")</w:t>
            </w:r>
          </w:p>
        </w:tc>
      </w:tr>
      <w:tr>
        <w:trPr>
          <w:trHeight w:val="3031" w:hRule="exact"/>
        </w:trPr>
        <w:tblPrEx>
          <w:tblBorders>
            <w:top w:val="nil"/>
            <w:left w:val="nil"/>
            <w:bottom w:val="nil"/>
            <w:right w:val="nil"/>
            <w:insideV w:val="nil"/>
            <w:insideH w:val="nil"/>
          </w:tblBorders>
        </w:tblPrEx>
        <w:tc>
          <w:tcPr>
            <w:tcW w:w="10716" w:type="dxa"/>
            <w:vAlign w:val="center"/>
            <w:tcMar>
              <w:top w:w="60" w:type="dxa"/>
              <w:left w:w="80" w:type="dxa"/>
              <w:bottom w:w="60" w:type="dxa"/>
              <w:right w:w="80" w:type="dxa"/>
            </w:tcMar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5"/>
              <w:jc w:val="center"/>
            </w:pPr>
            <w:r>
              <w:rPr>
                <w:sz w:val="28"/>
              </w:rPr>
              <w:t xml:space="preserve">Документ предоставлен </w:t>
            </w:r>
            <w:hyperlink w:history="0" r:id="rId3" w:tooltip="Ссылка на КонсультантПлюс">
              <w:r>
                <w:rPr>
                  <w:sz w:val="28"/>
                  <w:color w:val="0000ff"/>
                  <w:b w:val="on"/>
                </w:rPr>
                <w:t xml:space="preserve">КонсультантПлюс</w:t>
                <w:br/>
                <w:br/>
              </w:r>
            </w:hyperlink>
            <w:hyperlink w:history="0" r:id="rId4" w:tooltip="Ссылка на КонсультантПлюс">
              <w:r>
                <w:rPr>
                  <w:sz w:val="28"/>
                  <w:color w:val="0000ff"/>
                  <w:b w:val="on"/>
                </w:rPr>
                <w:t xml:space="preserve">www.consultant.ru</w:t>
              </w:r>
            </w:hyperlink>
            <w:r>
              <w:rPr>
                <w:sz w:val="28"/>
              </w:rPr>
              <w:br/>
              <w:br/>
              <w:t xml:space="preserve">Дата сохранения: 04.07.2025</w:t>
            </w:r>
            <w:r>
              <w:rPr>
                <w:sz w:val="28"/>
              </w:rPr>
              <w:br/>
              <w:t xml:space="preserve"> </w:t>
            </w:r>
          </w:p>
        </w:tc>
      </w:tr>
    </w:tbl>
    <w:p>
      <w:pPr>
        <w:sectPr>
          <w:pgSz w:w="11906" w:h="16838"/>
          <w:pgMar w:top="841" w:right="595" w:bottom="841" w:left="595" w:header="0" w:footer="0" w:gutter="0"/>
          <w:titlePg/>
        </w:sectPr>
      </w:pPr>
    </w:p>
    <w:p>
      <w:pPr>
        <w:pStyle w:val="0"/>
        <w:outlineLvl w:val="0"/>
        <w:jc w:val="both"/>
      </w:pPr>
      <w:r>
        <w:rPr>
          <w:sz w:val="24"/>
        </w:rPr>
      </w:r>
    </w:p>
    <w:p>
      <w:pPr>
        <w:pStyle w:val="2"/>
        <w:outlineLvl w:val="0"/>
        <w:jc w:val="center"/>
      </w:pPr>
      <w:r>
        <w:rPr>
          <w:sz w:val="24"/>
        </w:rPr>
        <w:t xml:space="preserve">ДЕПАРТАМЕНТ ТРУДА И ЗАНЯТОСТИ НАСЕЛЕНИЯ ВОЛОГОДСКОЙ ОБЛАСТИ</w:t>
      </w:r>
    </w:p>
    <w:p>
      <w:pPr>
        <w:pStyle w:val="2"/>
        <w:jc w:val="center"/>
      </w:pPr>
      <w:r>
        <w:rPr>
          <w:sz w:val="24"/>
        </w:rPr>
      </w:r>
    </w:p>
    <w:p>
      <w:pPr>
        <w:pStyle w:val="2"/>
        <w:jc w:val="center"/>
      </w:pPr>
      <w:r>
        <w:rPr>
          <w:sz w:val="24"/>
        </w:rPr>
        <w:t xml:space="preserve">ПРИКАЗ</w:t>
      </w:r>
    </w:p>
    <w:p>
      <w:pPr>
        <w:pStyle w:val="2"/>
        <w:jc w:val="center"/>
      </w:pPr>
      <w:r>
        <w:rPr>
          <w:sz w:val="24"/>
        </w:rPr>
        <w:t xml:space="preserve">от 26 июля 2012 г. N 357</w:t>
      </w:r>
    </w:p>
    <w:p>
      <w:pPr>
        <w:pStyle w:val="2"/>
        <w:jc w:val="center"/>
      </w:pPr>
      <w:r>
        <w:rPr>
          <w:sz w:val="24"/>
        </w:rPr>
      </w:r>
    </w:p>
    <w:p>
      <w:pPr>
        <w:pStyle w:val="2"/>
        <w:jc w:val="center"/>
      </w:pPr>
      <w:r>
        <w:rPr>
          <w:sz w:val="24"/>
        </w:rPr>
        <w:t xml:space="preserve">ОБ УТВЕРЖДЕНИИ АДМИНИСТРАТИВНОГО РЕГЛАМЕНТА</w:t>
      </w:r>
    </w:p>
    <w:p>
      <w:pPr>
        <w:spacing w:before="0"/>
        <w:spacing w:after="1"/>
      </w:pPr>
    </w:p>
    <w:tbl>
      <w:tblPr>
        <w:tblInd w:w="0" w:type="dxa"/>
        <w:tblW w:w="5000" w:type="pct"/>
        <w:tblBorders>
          <w:top w:val="nil"/>
          <w:left w:val="nil"/>
          <w:bottom w:val="nil"/>
          <w:right w:val="nil"/>
          <w:insideV w:val="nil"/>
          <w:insideH w:val="nil"/>
        </w:tblBorders>
      </w:tblPr>
      <w:tblGrid>
        <w:gridCol w:w="60"/>
        <w:gridCol w:w="113"/>
        <w:gridCol w:w="9921"/>
        <w:gridCol w:w="113"/>
      </w:tblGrid>
      <w:tr>
        <w:tc>
          <w:tcPr>
            <w:tcW w:w="60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ced3f1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0" w:type="auto"/>
            <w:tcMar>
              <w:top w:w="113" w:type="dxa"/>
              <w:left w:w="0" w:type="dxa"/>
              <w:bottom w:w="113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Список изменяющих документов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(в ред. приказов Департамента труда и занятости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населения Вологодской области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02.04.2013 </w:t>
            </w:r>
            <w:hyperlink w:history="0" r:id="rId7" w:tooltip="Приказ Департамента труда и занятости населения Вологодской области от 02.04.2013 N 108 &quot;О внесении изменений в приказ Департамента труда и занятости населения области от 26 июля 2012 года N 357&quot; {КонсультантПлюс}">
              <w:r>
                <w:rPr>
                  <w:sz w:val="24"/>
                  <w:color w:val="0000ff"/>
                </w:rPr>
                <w:t xml:space="preserve">N 108</w:t>
              </w:r>
            </w:hyperlink>
            <w:r>
              <w:rPr>
                <w:sz w:val="24"/>
                <w:color w:val="392c69"/>
              </w:rPr>
              <w:t xml:space="preserve">, от 16.01.2015 </w:t>
            </w:r>
            <w:hyperlink w:history="0" r:id="rId8" w:tooltip="Приказ Департамента труда и занятости населения Вологодской области от 16.01.2015 N 10 &quot;О внесении изменений в отдельные приказы Департамента труда и занятости населения Вологодской области&quot; {КонсультантПлюс}">
              <w:r>
                <w:rPr>
                  <w:sz w:val="24"/>
                  <w:color w:val="0000ff"/>
                </w:rPr>
                <w:t xml:space="preserve">N 10</w:t>
              </w:r>
            </w:hyperlink>
            <w:r>
              <w:rPr>
                <w:sz w:val="24"/>
                <w:color w:val="392c69"/>
              </w:rPr>
              <w:t xml:space="preserve">, от 29.01.2016 </w:t>
            </w:r>
            <w:hyperlink w:history="0" r:id="rId9" w:tooltip="Приказ Департамента труда и занятости населения Вологодской области от 29.01.2016 N 29 &quot;О внесении изменений в приказ Департамента труда и занятости населения Вологодской области от 26 июля 2012 года N 357&quot; (вместе с &quot;Административным регламентом предоставления государственной услуги по уведомительной регистрации региональных, отраслевых (региональных и территориальных), межотраслевых (региональных и территориальных), территориальных соглашений&quot;, &quot;Перечнем должностных лиц Департамента труда и занятости насе {КонсультантПлюс}">
              <w:r>
                <w:rPr>
                  <w:sz w:val="24"/>
                  <w:color w:val="0000ff"/>
                </w:rPr>
                <w:t xml:space="preserve">N 29</w:t>
              </w:r>
            </w:hyperlink>
            <w:r>
              <w:rPr>
                <w:sz w:val="24"/>
                <w:color w:val="392c69"/>
              </w:rPr>
              <w:t xml:space="preserve">,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20.05.2016 </w:t>
            </w:r>
            <w:hyperlink w:history="0" r:id="rId10" w:tooltip="Приказ Департамента труда и занятости населения Вологодской области от 20.05.2016 N 158 &quot;О внесении изменений в приказ Департамента труда и занятости населения Вологодской области от 26 июля 2012 года N 357&quot; {КонсультантПлюс}">
              <w:r>
                <w:rPr>
                  <w:sz w:val="24"/>
                  <w:color w:val="0000ff"/>
                </w:rPr>
                <w:t xml:space="preserve">N 158</w:t>
              </w:r>
            </w:hyperlink>
            <w:r>
              <w:rPr>
                <w:sz w:val="24"/>
                <w:color w:val="392c69"/>
              </w:rPr>
              <w:t xml:space="preserve">, от 19.07.2017 </w:t>
            </w:r>
            <w:hyperlink w:history="0" r:id="rId11" w:tooltip="Приказ Департамента труда и занятости населения Вологодской области от 19.07.2017 N 317 &quot;О внесении изменения в приказ Департамента труда и занятости населения Вологодской области от 26 июля 2012 года N 357&quot; (вместе с &quot;Административным регламентом предоставления государственной услуги по уведомительной регистрации региональных, отраслевых (региональных и территориальных), межотраслевых (региональных и территориальных), территориальных соглашений&quot;) {КонсультантПлюс}">
              <w:r>
                <w:rPr>
                  <w:sz w:val="24"/>
                  <w:color w:val="0000ff"/>
                </w:rPr>
                <w:t xml:space="preserve">N 317</w:t>
              </w:r>
            </w:hyperlink>
            <w:r>
              <w:rPr>
                <w:sz w:val="24"/>
                <w:color w:val="392c69"/>
              </w:rPr>
              <w:t xml:space="preserve">, от 08.11.2017 </w:t>
            </w:r>
            <w:hyperlink w:history="0" r:id="rId12" w:tooltip="Приказ Департамента труда и занятости населения Вологодской области от 08.11.2017 N 461 (ред. от 27.09.2021) &quot;О внесении изменений в некоторые приказы Департамента труда и занятости населения области&quot; {КонсультантПлюс}">
              <w:r>
                <w:rPr>
                  <w:sz w:val="24"/>
                  <w:color w:val="0000ff"/>
                </w:rPr>
                <w:t xml:space="preserve">N 461</w:t>
              </w:r>
            </w:hyperlink>
            <w:r>
              <w:rPr>
                <w:sz w:val="24"/>
                <w:color w:val="392c69"/>
              </w:rPr>
              <w:t xml:space="preserve">,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27.12.2017 </w:t>
            </w:r>
            <w:hyperlink w:history="0" r:id="rId13" w:tooltip="Приказ Департамента труда и занятости населения Вологодской области от 27.12.2017 N 538 &quot;О внесении изменения в приказ Департамента труда и занятости населения области от 26 июля 2012 года N 357&quot; (вместе с &quot;Административным регламентом предоставления государственной услуги по уведомительной регистрации региональных, отраслевых (региональных и территориальных), межотраслевых (региональных и территориальных), территориальных соглашений&quot;) {КонсультантПлюс}">
              <w:r>
                <w:rPr>
                  <w:sz w:val="24"/>
                  <w:color w:val="0000ff"/>
                </w:rPr>
                <w:t xml:space="preserve">N 538</w:t>
              </w:r>
            </w:hyperlink>
            <w:r>
              <w:rPr>
                <w:sz w:val="24"/>
                <w:color w:val="392c69"/>
              </w:rPr>
              <w:t xml:space="preserve">, от 25.06.2018 </w:t>
            </w:r>
            <w:hyperlink w:history="0" r:id="rId14" w:tooltip="Приказ Департамента труда и занятости населения Вологодской области от 25.06.2018 N 283 (ред. от 27.09.2021) &quot;О внесении изменений в некоторые приказы Департамента труда и занятости населения области&quot; {КонсультантПлюс}">
              <w:r>
                <w:rPr>
                  <w:sz w:val="24"/>
                  <w:color w:val="0000ff"/>
                </w:rPr>
                <w:t xml:space="preserve">N 283</w:t>
              </w:r>
            </w:hyperlink>
            <w:r>
              <w:rPr>
                <w:sz w:val="24"/>
                <w:color w:val="392c69"/>
              </w:rPr>
              <w:t xml:space="preserve">, от 04.10.2018 </w:t>
            </w:r>
            <w:hyperlink w:history="0" r:id="rId15" w:tooltip="Приказ Департамента труда и занятости населения Вологодской области от 04.10.2018 N 458 (ред. от 27.09.2021) &quot;О внесении изменений в некоторые приказы Департамента труда и занятости населения области&quot; {КонсультантПлюс}">
              <w:r>
                <w:rPr>
                  <w:sz w:val="24"/>
                  <w:color w:val="0000ff"/>
                </w:rPr>
                <w:t xml:space="preserve">N 458</w:t>
              </w:r>
            </w:hyperlink>
            <w:r>
              <w:rPr>
                <w:sz w:val="24"/>
                <w:color w:val="392c69"/>
              </w:rPr>
              <w:t xml:space="preserve">,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28.10.2019 </w:t>
            </w:r>
            <w:hyperlink w:history="0" r:id="rId16" w:tooltip="Приказ Департамента труда и занятости населения Вологодской области от 28.10.2019 N 556 &quot;О внесении изменения в приказ Департамента труда и занятости населения области от 26 июля 2012 года N 357&quot; (вместе с &quot;Административным регламентом предоставления государственной услуги по уведомительной регистрации региональных, отраслевых (региональных и территориальных), межотраслевых (региональных и территориальных), территориальных соглашений&quot;) {КонсультантПлюс}">
              <w:r>
                <w:rPr>
                  <w:sz w:val="24"/>
                  <w:color w:val="0000ff"/>
                </w:rPr>
                <w:t xml:space="preserve">N 556</w:t>
              </w:r>
            </w:hyperlink>
            <w:r>
              <w:rPr>
                <w:sz w:val="24"/>
                <w:color w:val="392c69"/>
              </w:rPr>
              <w:t xml:space="preserve">, от 13.08.2021 </w:t>
            </w:r>
            <w:hyperlink w:history="0" r:id="rId17" w:tooltip="Приказ Департамента труда и занятости населения Вологодской области от 13.08.2021 N 312 &quot;О внесении изменений в приказ Департамента труда и занятости населения области от 26 июля 2012 года N 357&quot; {КонсультантПлюс}">
              <w:r>
                <w:rPr>
                  <w:sz w:val="24"/>
                  <w:color w:val="0000ff"/>
                </w:rPr>
                <w:t xml:space="preserve">N 312</w:t>
              </w:r>
            </w:hyperlink>
            <w:r>
              <w:rPr>
                <w:sz w:val="24"/>
                <w:color w:val="392c69"/>
              </w:rPr>
              <w:t xml:space="preserve">,</w:t>
            </w:r>
          </w:p>
          <w:p>
            <w:pPr>
              <w:pStyle w:val="0"/>
              <w:jc w:val="center"/>
            </w:pPr>
            <w:hyperlink w:history="0" r:id="rId18" w:tooltip="Приказ Министерства труда и занятости населения Вологодской области от 18.06.2025 N 234 &quot;О внесении изменений в приказ Департамента труда и занятости населения области от 26 июля 2012 года N 357&quot; (вместе с &quot;Административным регламентом предоставления государственной услуги по уведомительной регистрации региональных, отраслевых (региональных и территориальных), межотраслевых (региональных и территориальных), территориальных соглашений&quot;) {КонсультантПлюс}">
              <w:r>
                <w:rPr>
                  <w:sz w:val="24"/>
                  <w:color w:val="0000ff"/>
                </w:rPr>
                <w:t xml:space="preserve">приказа</w:t>
              </w:r>
            </w:hyperlink>
            <w:r>
              <w:rPr>
                <w:sz w:val="24"/>
                <w:color w:val="392c69"/>
              </w:rPr>
              <w:t xml:space="preserve"> Министерства труда и занятости населения Вологодской области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18.06.2025 N 234)</w:t>
            </w:r>
          </w:p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</w:tr>
    </w:tbl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В соответствии с </w:t>
      </w:r>
      <w:hyperlink w:history="0" r:id="rId19" w:tooltip="Постановление Правительства Вологодской области от 05.12.2016 N 1099 (ред. от 04.09.2024) &quot;Об утверждении Порядка разработки и утверждения административных регламентов предоставления государственных услуг органами исполнительной государственной власти области&quot; {КонсультантПлюс}">
        <w:r>
          <w:rPr>
            <w:sz w:val="24"/>
            <w:color w:val="0000ff"/>
          </w:rPr>
          <w:t xml:space="preserve">постановлением</w:t>
        </w:r>
      </w:hyperlink>
      <w:r>
        <w:rPr>
          <w:sz w:val="24"/>
        </w:rPr>
        <w:t xml:space="preserve"> Правительства области от 5 декабря 2016 года N 1099 "О Порядках разработки и утверждения административных регламентов исполнения государственных функций, административных регламентов предоставления государственных услуг органами исполнительной государственной власти области" приказываю:</w:t>
      </w:r>
    </w:p>
    <w:p>
      <w:pPr>
        <w:pStyle w:val="0"/>
        <w:jc w:val="both"/>
      </w:pPr>
      <w:r>
        <w:rPr>
          <w:sz w:val="24"/>
        </w:rPr>
        <w:t xml:space="preserve">(в ред. </w:t>
      </w:r>
      <w:hyperlink w:history="0" r:id="rId20" w:tooltip="Приказ Департамента труда и занятости населения Вологодской области от 08.11.2017 N 461 (ред. от 27.09.2021) &quot;О внесении изменений в некоторые приказы Департамента труда и занятости населения области&quot; {КонсультантПлюс}">
        <w:r>
          <w:rPr>
            <w:sz w:val="24"/>
            <w:color w:val="0000ff"/>
          </w:rPr>
          <w:t xml:space="preserve">приказа</w:t>
        </w:r>
      </w:hyperlink>
      <w:r>
        <w:rPr>
          <w:sz w:val="24"/>
        </w:rPr>
        <w:t xml:space="preserve"> Департамента труда и занятости населения Вологодской области от 08.11.2017 N 461)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1. Утвердить: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- административный </w:t>
      </w:r>
      <w:hyperlink w:history="0" w:anchor="P41" w:tooltip="АДМИНИСТРАТИВНЫЙ РЕГЛАМЕНТ">
        <w:r>
          <w:rPr>
            <w:sz w:val="24"/>
            <w:color w:val="0000ff"/>
          </w:rPr>
          <w:t xml:space="preserve">регламент</w:t>
        </w:r>
      </w:hyperlink>
      <w:r>
        <w:rPr>
          <w:sz w:val="24"/>
        </w:rPr>
        <w:t xml:space="preserve"> предоставления государственной услуги по уведомительной регистрации региональных, отраслевых (региональных и территориальных), межотраслевых (региональных и территориальных), территориальных соглашений (приложение 1);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- </w:t>
      </w:r>
      <w:hyperlink w:history="0" w:anchor="P469" w:tooltip="ПЕРЕЧЕНЬ">
        <w:r>
          <w:rPr>
            <w:sz w:val="24"/>
            <w:color w:val="0000ff"/>
          </w:rPr>
          <w:t xml:space="preserve">перечень</w:t>
        </w:r>
      </w:hyperlink>
      <w:r>
        <w:rPr>
          <w:sz w:val="24"/>
        </w:rPr>
        <w:t xml:space="preserve"> должностных лиц Департамента труда и занятости населения области (далее - Департамент), ответственных за предоставление государственной услуги по уведомительной регистрации региональных, отраслевых (региональных и территориальных), межотраслевых (региональных и территориальных), территориальных соглашений (приложение 2).</w:t>
      </w:r>
    </w:p>
    <w:p>
      <w:pPr>
        <w:pStyle w:val="0"/>
        <w:spacing w:before="240" w:line-rule="auto"/>
        <w:jc w:val="both"/>
      </w:pPr>
      <w:r>
        <w:rPr>
          <w:sz w:val="24"/>
        </w:rPr>
        <w:t xml:space="preserve">(Перечень исключен. - </w:t>
      </w:r>
      <w:hyperlink w:history="0" r:id="rId21" w:tooltip="Приказ Департамента труда и занятости населения Вологодской области от 19.07.2017 N 317 &quot;О внесении изменения в приказ Департамента труда и занятости населения Вологодской области от 26 июля 2012 года N 357&quot; (вместе с &quot;Административным регламентом предоставления государственной услуги по уведомительной регистрации региональных, отраслевых (региональных и территориальных), межотраслевых (региональных и территориальных), территориальных соглашений&quot;) {КонсультантПлюс}">
        <w:r>
          <w:rPr>
            <w:sz w:val="24"/>
            <w:color w:val="0000ff"/>
          </w:rPr>
          <w:t xml:space="preserve">Приказ</w:t>
        </w:r>
      </w:hyperlink>
      <w:r>
        <w:rPr>
          <w:sz w:val="24"/>
        </w:rPr>
        <w:t xml:space="preserve"> Департамента труда и занятости населения Вологодской области от 19.07.2017 N 317)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 Отделу трудовых отношений, оплаты труда и развития социального партнерства Департамента (Скворцова И.А.) обеспечить размещение настоящего приказа и текста административного регламента в областной газете "Красный Север", на официальных сайтах Правительства области и Департамента.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3. Контроль за исполнением настоящего приказа возложить на начальника управления труда Департамента Лукинова Н.А.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4. Настоящий приказ вступает в силу по истечении 10 дней со дня его официального опубликования.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right"/>
      </w:pPr>
      <w:r>
        <w:rPr>
          <w:sz w:val="24"/>
        </w:rPr>
        <w:t xml:space="preserve">Начальник Департамента</w:t>
      </w:r>
    </w:p>
    <w:p>
      <w:pPr>
        <w:pStyle w:val="0"/>
        <w:jc w:val="right"/>
      </w:pPr>
      <w:r>
        <w:rPr>
          <w:sz w:val="24"/>
        </w:rPr>
        <w:t xml:space="preserve">И.П.ДАЦЕНКО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outlineLvl w:val="0"/>
        <w:jc w:val="right"/>
      </w:pPr>
      <w:r>
        <w:rPr>
          <w:sz w:val="24"/>
        </w:rPr>
        <w:t xml:space="preserve">Утвержден</w:t>
      </w:r>
    </w:p>
    <w:p>
      <w:pPr>
        <w:pStyle w:val="0"/>
        <w:jc w:val="right"/>
      </w:pPr>
      <w:r>
        <w:rPr>
          <w:sz w:val="24"/>
        </w:rPr>
        <w:t xml:space="preserve">Приказом</w:t>
      </w:r>
    </w:p>
    <w:p>
      <w:pPr>
        <w:pStyle w:val="0"/>
        <w:jc w:val="right"/>
      </w:pPr>
      <w:r>
        <w:rPr>
          <w:sz w:val="24"/>
        </w:rPr>
        <w:t xml:space="preserve">Департамента труда и занятости</w:t>
      </w:r>
    </w:p>
    <w:p>
      <w:pPr>
        <w:pStyle w:val="0"/>
        <w:jc w:val="right"/>
      </w:pPr>
      <w:r>
        <w:rPr>
          <w:sz w:val="24"/>
        </w:rPr>
        <w:t xml:space="preserve">населения Вологодской области</w:t>
      </w:r>
    </w:p>
    <w:p>
      <w:pPr>
        <w:pStyle w:val="0"/>
        <w:jc w:val="right"/>
      </w:pPr>
      <w:r>
        <w:rPr>
          <w:sz w:val="24"/>
        </w:rPr>
        <w:t xml:space="preserve">от 26 июля 2012 г. N 357</w:t>
      </w:r>
    </w:p>
    <w:p>
      <w:pPr>
        <w:pStyle w:val="0"/>
        <w:jc w:val="right"/>
      </w:pPr>
      <w:r>
        <w:rPr>
          <w:sz w:val="24"/>
        </w:rPr>
        <w:t xml:space="preserve">(приложение 1)</w:t>
      </w:r>
    </w:p>
    <w:p>
      <w:pPr>
        <w:pStyle w:val="0"/>
        <w:jc w:val="both"/>
      </w:pPr>
      <w:r>
        <w:rPr>
          <w:sz w:val="24"/>
        </w:rPr>
      </w:r>
    </w:p>
    <w:bookmarkStart w:id="41" w:name="P41"/>
    <w:bookmarkEnd w:id="41"/>
    <w:p>
      <w:pPr>
        <w:pStyle w:val="2"/>
        <w:jc w:val="center"/>
      </w:pPr>
      <w:r>
        <w:rPr>
          <w:sz w:val="24"/>
        </w:rPr>
        <w:t xml:space="preserve">АДМИНИСТРАТИВНЫЙ РЕГЛАМЕНТ</w:t>
      </w:r>
    </w:p>
    <w:p>
      <w:pPr>
        <w:pStyle w:val="2"/>
        <w:jc w:val="center"/>
      </w:pPr>
      <w:r>
        <w:rPr>
          <w:sz w:val="24"/>
        </w:rPr>
        <w:t xml:space="preserve">ПРЕДОСТАВЛЕНИЯ ГОСУДАРСТВЕННОЙ УСЛУГИ ПО УВЕДОМИТЕЛЬНОЙ</w:t>
      </w:r>
    </w:p>
    <w:p>
      <w:pPr>
        <w:pStyle w:val="2"/>
        <w:jc w:val="center"/>
      </w:pPr>
      <w:r>
        <w:rPr>
          <w:sz w:val="24"/>
        </w:rPr>
        <w:t xml:space="preserve">РЕГИСТРАЦИИ РЕГИОНАЛЬНЫХ, ОТРАСЛЕВЫХ (РЕГИОНАЛЬНЫХ</w:t>
      </w:r>
    </w:p>
    <w:p>
      <w:pPr>
        <w:pStyle w:val="2"/>
        <w:jc w:val="center"/>
      </w:pPr>
      <w:r>
        <w:rPr>
          <w:sz w:val="24"/>
        </w:rPr>
        <w:t xml:space="preserve">И ТЕРРИТОРИАЛЬНЫХ), МЕЖОТРАСЛЕВЫХ (РЕГИОНАЛЬНЫХ</w:t>
      </w:r>
    </w:p>
    <w:p>
      <w:pPr>
        <w:pStyle w:val="2"/>
        <w:jc w:val="center"/>
      </w:pPr>
      <w:r>
        <w:rPr>
          <w:sz w:val="24"/>
        </w:rPr>
        <w:t xml:space="preserve">И ТЕРРИТОРИАЛЬНЫХ), ТЕРРИТОРИАЛЬНЫХ СОГЛАШЕНИЙ</w:t>
      </w:r>
    </w:p>
    <w:p>
      <w:pPr>
        <w:spacing w:before="0"/>
        <w:spacing w:after="1"/>
      </w:pPr>
    </w:p>
    <w:tbl>
      <w:tblPr>
        <w:tblInd w:w="0" w:type="dxa"/>
        <w:tblW w:w="5000" w:type="pct"/>
        <w:tblBorders>
          <w:top w:val="nil"/>
          <w:left w:val="nil"/>
          <w:bottom w:val="nil"/>
          <w:right w:val="nil"/>
          <w:insideV w:val="nil"/>
          <w:insideH w:val="nil"/>
        </w:tblBorders>
      </w:tblPr>
      <w:tblGrid>
        <w:gridCol w:w="60"/>
        <w:gridCol w:w="113"/>
        <w:gridCol w:w="9921"/>
        <w:gridCol w:w="113"/>
      </w:tblGrid>
      <w:tr>
        <w:tc>
          <w:tcPr>
            <w:tcW w:w="60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ced3f1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0" w:type="auto"/>
            <w:tcMar>
              <w:top w:w="113" w:type="dxa"/>
              <w:left w:w="0" w:type="dxa"/>
              <w:bottom w:w="113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Список изменяющих документов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(в ред. </w:t>
            </w:r>
            <w:hyperlink w:history="0" r:id="rId22" w:tooltip="Приказ Министерства труда и занятости населения Вологодской области от 18.06.2025 N 234 &quot;О внесении изменений в приказ Департамента труда и занятости населения области от 26 июля 2012 года N 357&quot; (вместе с &quot;Административным регламентом предоставления государственной услуги по уведомительной регистрации региональных, отраслевых (региональных и территориальных), межотраслевых (региональных и территориальных), территориальных соглашений&quot;) {КонсультантПлюс}">
              <w:r>
                <w:rPr>
                  <w:sz w:val="24"/>
                  <w:color w:val="0000ff"/>
                </w:rPr>
                <w:t xml:space="preserve">приказа</w:t>
              </w:r>
            </w:hyperlink>
            <w:r>
              <w:rPr>
                <w:sz w:val="24"/>
                <w:color w:val="392c69"/>
              </w:rPr>
              <w:t xml:space="preserve"> Министерства труда и занятости населения Вологодской области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18.06.2025 N 234)</w:t>
            </w:r>
          </w:p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</w:tr>
    </w:tbl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1"/>
        <w:jc w:val="center"/>
      </w:pPr>
      <w:r>
        <w:rPr>
          <w:sz w:val="24"/>
        </w:rPr>
        <w:t xml:space="preserve">I. Общие положения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2"/>
        <w:jc w:val="center"/>
      </w:pPr>
      <w:r>
        <w:rPr>
          <w:sz w:val="24"/>
        </w:rPr>
        <w:t xml:space="preserve">1.1. Предмет регулирования административного регламента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1.1.1. Административный регламент регулирует отношения, возникающие в связи с предоставлением Министерством труда и занятости населения Вологодской области (далее - Министерство) государственной услуги по уведомительной регистрации региональных, отраслевых (региональных и территориальных), межотраслевых (региональных и территориальных), территориальных соглашений (далее соответственно - административный регламент, государственная услуга).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1.1.2. Административный регламент устанавливает порядок и стандарт предоставления государственной услуги, состав, последовательность и сроки выполнения административных процедур по предоставлению Министерством государственной услуги.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2"/>
        <w:jc w:val="center"/>
      </w:pPr>
      <w:r>
        <w:rPr>
          <w:sz w:val="24"/>
        </w:rPr>
        <w:t xml:space="preserve">1.2. Круг заявителей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1.2.1. Заявителями при предоставлении государственной услуги являются работодатели, объединения работодателей, представители работодателей либо их уполномоченные представители (далее - заявители).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1.2.2. Государственная услуга предоставляется работодателям, осуществляющим свою деятельность на территории Вологодской области.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1"/>
        <w:jc w:val="center"/>
      </w:pPr>
      <w:r>
        <w:rPr>
          <w:sz w:val="24"/>
        </w:rPr>
        <w:t xml:space="preserve">II. Стандарт предоставления государственной услуги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2"/>
        <w:jc w:val="center"/>
      </w:pPr>
      <w:r>
        <w:rPr>
          <w:sz w:val="24"/>
        </w:rPr>
        <w:t xml:space="preserve">2.1. Наименование государственной услуги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Уведомительная регистрация региональных, отраслевых (региональных и территориальных), межотраслевых (региональных и территориальных), территориальных соглашений.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2"/>
        <w:jc w:val="center"/>
      </w:pPr>
      <w:r>
        <w:rPr>
          <w:sz w:val="24"/>
        </w:rPr>
        <w:t xml:space="preserve">2.2. Наименование органа, предоставляющего</w:t>
      </w:r>
    </w:p>
    <w:p>
      <w:pPr>
        <w:pStyle w:val="2"/>
        <w:jc w:val="center"/>
      </w:pPr>
      <w:r>
        <w:rPr>
          <w:sz w:val="24"/>
        </w:rPr>
        <w:t xml:space="preserve">государственную услугу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2.2.1. Государственная услуга предоставляется Министерством труда и занятости населения Вологодской области.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2.2.2. Возможность принятия многофункциональным центром предоставления государственных и муниципальных услуг (далее - МФЦ) заявления и прилагаемых к нему документов, принятия решения об отказе в приеме заявления и прилагаемых к нему документов и (или) информации, необходимых для предоставления государственной услуги, отсутствует.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2"/>
        <w:jc w:val="center"/>
      </w:pPr>
      <w:r>
        <w:rPr>
          <w:sz w:val="24"/>
        </w:rPr>
        <w:t xml:space="preserve">2.3. Результат предоставления государственной услуги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Результатами предоставления государственной услуги являются: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а) уведомление о регистрации региональных, отраслевых (региональных и территориальных), межотраслевых (региональных и территориальных), территориальных соглашений (далее - Соглашение);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б) уведомление об отказе в регистрации Соглашения.</w:t>
      </w:r>
    </w:p>
    <w:p>
      <w:pPr>
        <w:pStyle w:val="0"/>
        <w:spacing w:before="240" w:line-rule="auto"/>
        <w:ind w:firstLine="540"/>
        <w:jc w:val="both"/>
      </w:pPr>
      <w:hyperlink w:history="0" w:anchor="P416" w:tooltip="УВЕДОМЛЕНИЕ">
        <w:r>
          <w:rPr>
            <w:sz w:val="24"/>
            <w:color w:val="0000ff"/>
          </w:rPr>
          <w:t xml:space="preserve">Уведомление</w:t>
        </w:r>
      </w:hyperlink>
      <w:r>
        <w:rPr>
          <w:sz w:val="24"/>
        </w:rPr>
        <w:t xml:space="preserve"> о регистрации Соглашения оформляется в соответствии с приложением N 4 к административному регламенту.</w:t>
      </w:r>
    </w:p>
    <w:p>
      <w:pPr>
        <w:pStyle w:val="0"/>
        <w:spacing w:before="240" w:line-rule="auto"/>
        <w:ind w:firstLine="540"/>
        <w:jc w:val="both"/>
      </w:pPr>
      <w:hyperlink w:history="0" w:anchor="P442" w:tooltip="УВЕДОМЛЕНИЕ">
        <w:r>
          <w:rPr>
            <w:sz w:val="24"/>
            <w:color w:val="0000ff"/>
          </w:rPr>
          <w:t xml:space="preserve">Уведомление</w:t>
        </w:r>
      </w:hyperlink>
      <w:r>
        <w:rPr>
          <w:sz w:val="24"/>
        </w:rPr>
        <w:t xml:space="preserve"> об отказе в регистрации Соглашения оформляется в соответствии с приложением N 5 к административному регламенту.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Результат предоставления государственной услуги заявитель получает посредством федеральной государственной информационной системы "Единый портал государственных и муниципальных услуг (функций)" (далее - Единый портал), дополнительно способом по выбору заявителя, указанным в заявлении - на адрес электронной почты или заказным почтовым отправлением с уведомлением о вручении.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2"/>
        <w:jc w:val="center"/>
      </w:pPr>
      <w:r>
        <w:rPr>
          <w:sz w:val="24"/>
        </w:rPr>
        <w:t xml:space="preserve">2.4. Срок предоставления государственной услуги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Максимальный срок предоставления государственной услуги со дня регистрации заявления и прилагаемых к нему документов составляет 30 календарных дней.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2"/>
        <w:jc w:val="center"/>
      </w:pPr>
      <w:r>
        <w:rPr>
          <w:sz w:val="24"/>
        </w:rPr>
        <w:t xml:space="preserve">2.5. Исчерпывающий перечень документов, необходимых</w:t>
      </w:r>
    </w:p>
    <w:p>
      <w:pPr>
        <w:pStyle w:val="2"/>
        <w:jc w:val="center"/>
      </w:pPr>
      <w:r>
        <w:rPr>
          <w:sz w:val="24"/>
        </w:rPr>
        <w:t xml:space="preserve">для предоставления государственной услуги</w:t>
      </w:r>
    </w:p>
    <w:p>
      <w:pPr>
        <w:pStyle w:val="0"/>
        <w:jc w:val="both"/>
      </w:pPr>
      <w:r>
        <w:rPr>
          <w:sz w:val="24"/>
        </w:rPr>
      </w:r>
    </w:p>
    <w:bookmarkStart w:id="90" w:name="P90"/>
    <w:bookmarkEnd w:id="90"/>
    <w:p>
      <w:pPr>
        <w:pStyle w:val="0"/>
        <w:ind w:firstLine="540"/>
        <w:jc w:val="both"/>
      </w:pPr>
      <w:r>
        <w:rPr>
          <w:sz w:val="24"/>
        </w:rPr>
        <w:t xml:space="preserve">2.5.1. Для предоставления государственной услуги заявитель представляет (направляет) в Министерство следующие документы: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а) заявление о проведении уведомительной регистрации Соглашения (далее - заявление) по форме согласно </w:t>
      </w:r>
      <w:hyperlink w:history="0" w:anchor="P302" w:tooltip="ФОРМА">
        <w:r>
          <w:rPr>
            <w:sz w:val="24"/>
            <w:color w:val="0000ff"/>
          </w:rPr>
          <w:t xml:space="preserve">приложению N 1</w:t>
        </w:r>
      </w:hyperlink>
      <w:r>
        <w:rPr>
          <w:sz w:val="24"/>
        </w:rPr>
        <w:t xml:space="preserve"> к административному регламенту;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б) Соглашение на бумажном носителе (подлинники) (в количестве экземпляров по числу подписавших сторон с приложениями, упомянутыми в содержании, и один экземпляр для Министерства).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Соглашение (все экземпляры) пронумеровано, прошито и скреплено печатями (при наличии) сторон Соглашения. Все представленные экземпляры Соглашения должны быть идентичны, не иметь серьезных повреждений, не позволяющих однозначно истолковать их содержание;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в) документ, подтверждающий полномочия представителя заявителя (в случае обращения за получением государственной услуги представителя заявителя).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2.5.2. Форма (бланк) заявления размещается на официальном сайте Министерства, Региональном портале с возможностью его бесплатного копирования (скачивания).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Форма (бланк) заявления на бумажном носителе предоставляется должностным лицом Министерства, ответственным за предоставление государственной услуги.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Заявление заполняется разборчиво, в машинописном виде или от руки.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Заявление составляется в единственном экземпляре - оригинале и заверяется подписью заявителя.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Заявление по просьбе заявителя может быть заполнено должностным лицом Министерства, ответственным за предоставление государственной услуги. В этом случае заявитель вписывает в заявление от руки полностью свои фамилию, имя, отчество (при его наличии) и ставит подпись.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При заполнении заявления не допускается использование сокращений слов и аббревиатур. Ответы на содержащиеся в заявке вопросы должны быть конкретными и исчерпывающими.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2.5.3. Заявитель вправе представить заявление и приложенные к нему документы следующими способами: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а) путем личного обращения в Министерство;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б) посредством почтовой связи;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в) по электронной почте;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г) посредством Единого портала.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2.5.4. В случае предоставления документов на иностранном языке они должны быть переведены на русский язык. Верность перевода должна быть нотариально удостоверена.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Документы не должны содержать подчистки либо приписки, зачеркнутые слова и иные не оговоренные в них исправления, а также серьезные повреждения, не позволяющие однозначно истолковать их содержание.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2.5.5. Заявление и прилагаемые к нему документы, направленные в электронной форме, подписываются в соответствии с требованиями Федерального </w:t>
      </w:r>
      <w:hyperlink w:history="0" r:id="rId23" w:tooltip="Федеральный закон от 06.04.2011 N 63-ФЗ (ред. от 28.12.2024) &quot;Об электронной подписи&quot; {КонсультантПлюс}">
        <w:r>
          <w:rPr>
            <w:sz w:val="24"/>
            <w:color w:val="0000ff"/>
          </w:rPr>
          <w:t xml:space="preserve">закона</w:t>
        </w:r>
      </w:hyperlink>
      <w:r>
        <w:rPr>
          <w:sz w:val="24"/>
        </w:rPr>
        <w:t xml:space="preserve"> от 6 апреля 2011 года N 63-ФЗ "Об электронной подписи" и </w:t>
      </w:r>
      <w:hyperlink w:history="0" r:id="rId24" w:tooltip="Федеральный закон от 27.07.2010 N 210-ФЗ (ред. от 28.12.2024) &quot;Об организации предоставления государственных и муниципальных услуг&quot; {КонсультантПлюс}">
        <w:r>
          <w:rPr>
            <w:sz w:val="24"/>
            <w:color w:val="0000ff"/>
          </w:rPr>
          <w:t xml:space="preserve">статей 21.1</w:t>
        </w:r>
      </w:hyperlink>
      <w:r>
        <w:rPr>
          <w:sz w:val="24"/>
        </w:rPr>
        <w:t xml:space="preserve"> и </w:t>
      </w:r>
      <w:hyperlink w:history="0" r:id="rId25" w:tooltip="Федеральный закон от 27.07.2010 N 210-ФЗ (ред. от 28.12.2024) &quot;Об организации предоставления государственных и муниципальных услуг&quot; {КонсультантПлюс}">
        <w:r>
          <w:rPr>
            <w:sz w:val="24"/>
            <w:color w:val="0000ff"/>
          </w:rPr>
          <w:t xml:space="preserve">21.2</w:t>
        </w:r>
      </w:hyperlink>
      <w:r>
        <w:rPr>
          <w:sz w:val="24"/>
        </w:rPr>
        <w:t xml:space="preserve"> Федерального закона от 27 июля 2010 года N 210-ФЗ "Об организации предоставления государственных и муниципальных услуг" (далее соответственно - Федеральный закон N 63-ФЗ, Федеральный закон N 210-ФЗ).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2"/>
        <w:jc w:val="center"/>
      </w:pPr>
      <w:r>
        <w:rPr>
          <w:sz w:val="24"/>
        </w:rPr>
        <w:t xml:space="preserve">2.6. Исчерпывающий перечень оснований</w:t>
      </w:r>
    </w:p>
    <w:p>
      <w:pPr>
        <w:pStyle w:val="2"/>
        <w:jc w:val="center"/>
      </w:pPr>
      <w:r>
        <w:rPr>
          <w:sz w:val="24"/>
        </w:rPr>
        <w:t xml:space="preserve">для отказа в приеме документов, необходимых</w:t>
      </w:r>
    </w:p>
    <w:p>
      <w:pPr>
        <w:pStyle w:val="2"/>
        <w:jc w:val="center"/>
      </w:pPr>
      <w:r>
        <w:rPr>
          <w:sz w:val="24"/>
        </w:rPr>
        <w:t xml:space="preserve">для предоставления государственной услуги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Основания для отказа в приеме заявления и прилагаемых к нему документов, необходимых для предоставления государственной услуги, отсутствуют.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2"/>
        <w:jc w:val="center"/>
      </w:pPr>
      <w:r>
        <w:rPr>
          <w:sz w:val="24"/>
        </w:rPr>
        <w:t xml:space="preserve">2.7. Исчерпывающий перечень оснований для приостановления</w:t>
      </w:r>
    </w:p>
    <w:p>
      <w:pPr>
        <w:pStyle w:val="2"/>
        <w:jc w:val="center"/>
      </w:pPr>
      <w:r>
        <w:rPr>
          <w:sz w:val="24"/>
        </w:rPr>
        <w:t xml:space="preserve">предоставления государственной услуги или отказа</w:t>
      </w:r>
    </w:p>
    <w:p>
      <w:pPr>
        <w:pStyle w:val="2"/>
        <w:jc w:val="center"/>
      </w:pPr>
      <w:r>
        <w:rPr>
          <w:sz w:val="24"/>
        </w:rPr>
        <w:t xml:space="preserve">в предоставлении государственной услуги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2.7.1. Основанием для приостановления предоставления государственной услуги является поступление заявления в Министерство без предоставления Соглашения и/или недостаточного количества экземпляров Соглашения, определенных </w:t>
      </w:r>
      <w:hyperlink w:history="0" w:anchor="P90" w:tooltip="2.5.1. Для предоставления государственной услуги заявитель представляет (направляет) в Министерство следующие документы:">
        <w:r>
          <w:rPr>
            <w:sz w:val="24"/>
            <w:color w:val="0000ff"/>
          </w:rPr>
          <w:t xml:space="preserve">пунктом 2.5.1</w:t>
        </w:r>
      </w:hyperlink>
      <w:r>
        <w:rPr>
          <w:sz w:val="24"/>
        </w:rPr>
        <w:t xml:space="preserve"> административного регламента.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Приостановление предоставления государственной услуги осуществляется до представления Соглашения на бумажных носителях в Министерство, но не более чем на 14 календарных дней со дня регистрации заявления.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2.7.2. Основанием для отказа в приеме к рассмотрению заявления и прилагаемых к нему документов является выявление несоблюдения установленных статьей Федерального </w:t>
      </w:r>
      <w:hyperlink w:history="0" r:id="rId26" w:tooltip="Федеральный закон от 06.04.2011 N 63-ФЗ (ред. от 28.12.2024) &quot;Об электронной подписи&quot; {КонсультантПлюс}">
        <w:r>
          <w:rPr>
            <w:sz w:val="24"/>
            <w:color w:val="0000ff"/>
          </w:rPr>
          <w:t xml:space="preserve">закона</w:t>
        </w:r>
      </w:hyperlink>
      <w:r>
        <w:rPr>
          <w:sz w:val="24"/>
        </w:rPr>
        <w:t xml:space="preserve"> N 63-ФЗ условий признания действительности квалифицированной электронной подписи.</w:t>
      </w:r>
    </w:p>
    <w:bookmarkStart w:id="123" w:name="P123"/>
    <w:bookmarkEnd w:id="123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2.7.3. Основаниями для принятия решения об отказе в уведомительной регистрации Соглашения являются: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а) представление заявления не по форме, утвержденной согласно </w:t>
      </w:r>
      <w:hyperlink w:history="0" w:anchor="P302" w:tooltip="ФОРМА">
        <w:r>
          <w:rPr>
            <w:sz w:val="24"/>
            <w:color w:val="0000ff"/>
          </w:rPr>
          <w:t xml:space="preserve">приложению N 1</w:t>
        </w:r>
      </w:hyperlink>
      <w:r>
        <w:rPr>
          <w:sz w:val="24"/>
        </w:rPr>
        <w:t xml:space="preserve"> к административному регламенту;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б) не представлены документы, необходимые для предоставления государственной услуги, предусмотренные </w:t>
      </w:r>
      <w:hyperlink w:history="0" w:anchor="P90" w:tooltip="2.5.1. Для предоставления государственной услуги заявитель представляет (направляет) в Министерство следующие документы:">
        <w:r>
          <w:rPr>
            <w:sz w:val="24"/>
            <w:color w:val="0000ff"/>
          </w:rPr>
          <w:t xml:space="preserve">пунктом 2.5.1</w:t>
        </w:r>
      </w:hyperlink>
      <w:r>
        <w:rPr>
          <w:sz w:val="24"/>
        </w:rPr>
        <w:t xml:space="preserve"> административного регламента;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в) запрос заявителя не относится по существу к предоставлению государственной услуги;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г) представление документов, содержащих недостоверные сведения, либо документов, оформленных в ненадлежащем порядке.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2"/>
        <w:jc w:val="center"/>
      </w:pPr>
      <w:r>
        <w:rPr>
          <w:sz w:val="24"/>
        </w:rPr>
        <w:t xml:space="preserve">2.8. Размер платы, взимаемой с заявителя при предоставлении</w:t>
      </w:r>
    </w:p>
    <w:p>
      <w:pPr>
        <w:pStyle w:val="2"/>
        <w:jc w:val="center"/>
      </w:pPr>
      <w:r>
        <w:rPr>
          <w:sz w:val="24"/>
        </w:rPr>
        <w:t xml:space="preserve">государственной услуги, и способы ее взимания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Предоставление государственной услуги осуществляется для заявителей на безвозмездной основе.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2"/>
        <w:jc w:val="center"/>
      </w:pPr>
      <w:r>
        <w:rPr>
          <w:sz w:val="24"/>
        </w:rPr>
        <w:t xml:space="preserve">2.9. Максимальный срок ожидания в очереди при подаче</w:t>
      </w:r>
    </w:p>
    <w:p>
      <w:pPr>
        <w:pStyle w:val="2"/>
        <w:jc w:val="center"/>
      </w:pPr>
      <w:r>
        <w:rPr>
          <w:sz w:val="24"/>
        </w:rPr>
        <w:t xml:space="preserve">заявителем заявления о предоставлении государственной услуги</w:t>
      </w:r>
    </w:p>
    <w:p>
      <w:pPr>
        <w:pStyle w:val="2"/>
        <w:jc w:val="center"/>
      </w:pPr>
      <w:r>
        <w:rPr>
          <w:sz w:val="24"/>
        </w:rPr>
        <w:t xml:space="preserve">и при получении результата предоставления государственной</w:t>
      </w:r>
    </w:p>
    <w:p>
      <w:pPr>
        <w:pStyle w:val="2"/>
        <w:jc w:val="center"/>
      </w:pPr>
      <w:r>
        <w:rPr>
          <w:sz w:val="24"/>
        </w:rPr>
        <w:t xml:space="preserve">услуги в случае обращения заявителя непосредственно в орган,</w:t>
      </w:r>
    </w:p>
    <w:p>
      <w:pPr>
        <w:pStyle w:val="2"/>
        <w:jc w:val="center"/>
      </w:pPr>
      <w:r>
        <w:rPr>
          <w:sz w:val="24"/>
        </w:rPr>
        <w:t xml:space="preserve">предоставляющий государственные услуги,</w:t>
      </w:r>
    </w:p>
    <w:p>
      <w:pPr>
        <w:pStyle w:val="2"/>
        <w:jc w:val="center"/>
      </w:pPr>
      <w:r>
        <w:rPr>
          <w:sz w:val="24"/>
        </w:rPr>
        <w:t xml:space="preserve">или многофункциональный центр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Максимальный срок ожидания в очереди при подаче заявления о предоставлении государственной услуги и (или) получении результата предоставления государственной услуги не должен превышать 15 минут в случае обращения заявителя непосредственно в Министерство.</w:t>
      </w:r>
    </w:p>
    <w:p>
      <w:pPr>
        <w:pStyle w:val="0"/>
        <w:jc w:val="both"/>
      </w:pPr>
      <w:r>
        <w:rPr>
          <w:sz w:val="24"/>
        </w:rPr>
      </w:r>
    </w:p>
    <w:bookmarkStart w:id="143" w:name="P143"/>
    <w:bookmarkEnd w:id="143"/>
    <w:p>
      <w:pPr>
        <w:pStyle w:val="2"/>
        <w:outlineLvl w:val="2"/>
        <w:jc w:val="center"/>
      </w:pPr>
      <w:r>
        <w:rPr>
          <w:sz w:val="24"/>
        </w:rPr>
        <w:t xml:space="preserve">2.10. Срок регистрации запроса заявителя</w:t>
      </w:r>
    </w:p>
    <w:p>
      <w:pPr>
        <w:pStyle w:val="2"/>
        <w:jc w:val="center"/>
      </w:pPr>
      <w:r>
        <w:rPr>
          <w:sz w:val="24"/>
        </w:rPr>
        <w:t xml:space="preserve">о предоставлении государственной услуги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Заявление о предоставлении государственной услуги с прилагаемыми документами регистрируется в Министерстве в день их поступления (при поступлении заявления в электронном виде в нерабочий день - в ближайший следующий за ним рабочий день Министерства) в государственной информационной системе Вологодской области "Автоматизированная система исполнения запросов" (далее - ГИС АСИЗ).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2"/>
        <w:jc w:val="center"/>
      </w:pPr>
      <w:r>
        <w:rPr>
          <w:sz w:val="24"/>
        </w:rPr>
        <w:t xml:space="preserve">2.11. Требования к помещениям, в которых</w:t>
      </w:r>
    </w:p>
    <w:p>
      <w:pPr>
        <w:pStyle w:val="2"/>
        <w:jc w:val="center"/>
      </w:pPr>
      <w:r>
        <w:rPr>
          <w:sz w:val="24"/>
        </w:rPr>
        <w:t xml:space="preserve">предоставляются государственные услуги &lt;1&gt;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--------------------------------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&lt;1&gt; Федеральный </w:t>
      </w:r>
      <w:hyperlink w:history="0" r:id="rId27" w:tooltip="Федеральный закон от 01.12.2014 N 419-ФЗ (ред. от 12.12.2023) &quot;О внесении изменений в отдельные законодательные акты Российской Федерации по вопросам социальной защиты инвалидов в связи с ратификацией Конвенции о правах инвалидов&quot; {КонсультантПлюс}">
        <w:r>
          <w:rPr>
            <w:sz w:val="24"/>
            <w:color w:val="0000ff"/>
          </w:rPr>
          <w:t xml:space="preserve">закон</w:t>
        </w:r>
      </w:hyperlink>
      <w:r>
        <w:rPr>
          <w:sz w:val="24"/>
        </w:rPr>
        <w:t xml:space="preserve"> от 1 декабря 2014 года N 419-ФЗ "О внесении изменений в отдельные законодательные акты Российской Федерации по вопросам социальной защиты инвалидов в связи с ратификацией Конвенции о правах инвалидов".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2.11.1. Центральный вход в здание, в котором предоставляется государственная услуга, оборудуется вывеской, содержащей информацию о наименовании и режиме работы Министерства.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Вход в здание, в котором предоставляется государственная услуга, при наличии возможности оборудуется в соответствии с требованиями, обеспечивающими возможность беспрепятственного входа инвалидов в здание и выхода из него (пандус, поручни, другие специальные приспособления).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2.11.2. На территории, прилегающей к зданию, в котором предоставляется государственная услуга, организуются места для парковки автотранспортных средств, в том числе автотранспортных средств инвалидов.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Доступ инвалидов к парковочным местам является бесплатным.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2.11.3. Гражданам, относящимся к категории инвалидов, включая инвалидов, использующим кресла-коляски и собак-проводников, обеспечиваются: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возможность самостоятельного передвижения по зданию, в котором предоставляется государственная услуга, в целях доступа к месту предоставления услуги, в том числе с помощью должностных лиц Министерства;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возможность посадки в транспортное средство и высадки из него перед входом в здание, где предоставляется государственная услуга, в том числе с использованием кресла-коляски и при необходимости с помощью сотрудников Министерства;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сопровождение инвалидов, имеющих стойкие нарушения функций зрения и самостоятельного передвижения, по территории здания, в котором предоставляется государственная услуга;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содействие инвалиду при входе в здание, в котором предоставляется государственная услуга, и выходе из него, информирование инвалида о доступных маршрутах общественного транспорта;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надлежащее размещение носителей информации, необходимой для обеспечения беспрепятственного доступа инвалидов к местам предоставления государственной услуги, с учетом ограничений их жизнедеятельности;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обеспечение допуска в здание, в котором предоставляется государственная услуга, собаки-проводника при наличии документа, подтверждающего ее специальное обучение, выданного по </w:t>
      </w:r>
      <w:hyperlink w:history="0" r:id="rId28" w:tooltip="Приказ Минтруда России от 22.06.2015 N 386н &quot;Об утверждении формы документа, подтверждающего специальное обучение собаки-проводника, и порядка его выдачи&quot; (Зарегистрировано в Минюсте России 21.07.2015 N 38115) {КонсультантПлюс}">
        <w:r>
          <w:rPr>
            <w:sz w:val="24"/>
            <w:color w:val="0000ff"/>
          </w:rPr>
          <w:t xml:space="preserve">форме</w:t>
        </w:r>
      </w:hyperlink>
      <w:r>
        <w:rPr>
          <w:sz w:val="24"/>
        </w:rPr>
        <w:t xml:space="preserve"> и в </w:t>
      </w:r>
      <w:hyperlink w:history="0" r:id="rId29" w:tooltip="Приказ Минтруда России от 22.06.2015 N 386н &quot;Об утверждении формы документа, подтверждающего специальное обучение собаки-проводника, и порядка его выдачи&quot; (Зарегистрировано в Минюсте России 21.07.2015 N 38115) {КонсультантПлюс}">
        <w:r>
          <w:rPr>
            <w:sz w:val="24"/>
            <w:color w:val="0000ff"/>
          </w:rPr>
          <w:t xml:space="preserve">порядке</w:t>
        </w:r>
      </w:hyperlink>
      <w:r>
        <w:rPr>
          <w:sz w:val="24"/>
        </w:rPr>
        <w:t xml:space="preserve">, утвержденных приказом Министерства труда и социальной защиты Российской Федерации от 22.06.2015 N 386н;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оказание помощи, необходимой для получения в доступной для них форме информации о порядке предоставления государственной услуги, в том числе об оформлении необходимых для получения государственной услуги документов и совершении ими других необходимых для получения государственной услуги действий;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обеспечение при необходимости допуска в здание, в котором предоставляется государственная услуга, сурдопереводчика, тифлосурдопереводчика;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оказание должностными лицами Министерства, предоставляющими государственную услугу, иной необходимой инвалидам помощи в преодолении барьеров, мешающих получению ими услуг наравне с другими лицами.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2.11.4. Помещения, предназначенные для предоставления государственной услуги, должны соответствовать санитарно-эпидемиологическим правилам и нормативам.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В помещениях, предназначенных для предоставления государственной услуги, на видном месте устанавливаются схемы размещения средств пожаротушения и путей эвакуации.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2.11.5. Места информирования, предназначенные для ознакомления заинтересованных лиц с информационными материалами, оборудуются информационными стендами, наглядной информацией, перечнем документов, необходимых для предоставления государственной услуги, а также текстом административного регламента. Административный регламент, приказ о его утверждении, перечень должностных лиц, ответственных за предоставление государственной услуги, а также нормативные правовые акты, регулирующие предоставление государственной услуги, должны быть доступны для ознакомления на бумажных носителях, а также в электронном виде (информационные системы общего пользования).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Тексты информационных материалов печатаются удобным для чтения шрифтом и (или) рельефно-контрастным шрифтом Брайля.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2.11.6. Места ожидания и приема должны быть удобными для заявителей, оборудованы столами, стульями, обеспечены бланками заявлений, образцами их заполнения, канцелярскими принадлежностями.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2.11.7. Кабинеты, в которых осуществляется прием заявителей (представителя заявителя), оборудуются информационными табличками (вывесками) с указанием номера кабинета, наименования структурного подразделения Министерства, которые печатаются удобным для чтения шрифтом и (или) рельефно-контрастным шрифтом и шрифтом Брайля.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Таблички на дверях кабинетов или на стенах должны быть видны посетителям.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Для приема заявителей кабинеты должностных лиц Министерства оборудуются сидячими местами (стульями, кресельными секциями).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2.11.8. Требования к помещениям, в которых предоставляется государственная услуга, размещаются на официальном сайте Министерства и на Региональном портале.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2"/>
        <w:jc w:val="center"/>
      </w:pPr>
      <w:r>
        <w:rPr>
          <w:sz w:val="24"/>
        </w:rPr>
        <w:t xml:space="preserve">2.12. Показатели доступности</w:t>
      </w:r>
    </w:p>
    <w:p>
      <w:pPr>
        <w:pStyle w:val="2"/>
        <w:jc w:val="center"/>
      </w:pPr>
      <w:r>
        <w:rPr>
          <w:sz w:val="24"/>
        </w:rPr>
        <w:t xml:space="preserve">и качества государственной услуги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2.12.1. Показателями доступности государственной услуги являются: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а) своевременность и полнота предоставляемой информации о государственной услуге, в том числе на Региональном портале;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б) установление должностных лиц Министерства, ответственных за предоставление государственной услуги;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в) территориальная доступность Министерства: располагается в незначительном удалении от центральной части города, с небольшим удалением от остановок общественного транспорта.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2.12.2. Показателями качества государственной услуги являются: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а) соблюдение сроков и последовательности выполнения всех административных процедур, предусмотренных административным регламентом;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б) количество обоснованных обращений граждан о несоблюдении порядка выполнения административных процедур, сроков предоставления государственной услуги, истребовании должностными лицами Министерства документов, не предусмотренных административным регламентом;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в) количество взаимодействий заявителя с должностными лицами при предоставлении государственной услуги и их продолжительность.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2.12.3. Заявителям обеспечивается возможность получения информации о ходе предоставления государственной услуги, в том числе с использованием информационно-коммуникационных технологий.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2.12.4. Возможность получения государственной услуги в МФЦ отсутствует.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2.12.5. Возможность получения государственной услуги посредством запроса о предоставлении нескольких государственных услуг, а также по экстерриториальному принципу отсутствует.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2.12.6. Показатели доступности и качества государственной услуги размещаются на официальном сайте Министерства и на Региональном портале.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2"/>
        <w:jc w:val="center"/>
      </w:pPr>
      <w:r>
        <w:rPr>
          <w:sz w:val="24"/>
        </w:rPr>
        <w:t xml:space="preserve">2.13. Иные требования к предоставлению государственной</w:t>
      </w:r>
    </w:p>
    <w:p>
      <w:pPr>
        <w:pStyle w:val="2"/>
        <w:jc w:val="center"/>
      </w:pPr>
      <w:r>
        <w:rPr>
          <w:sz w:val="24"/>
        </w:rPr>
        <w:t xml:space="preserve">услуги, в том числе учитывающие особенности предоставления</w:t>
      </w:r>
    </w:p>
    <w:p>
      <w:pPr>
        <w:pStyle w:val="2"/>
        <w:jc w:val="center"/>
      </w:pPr>
      <w:r>
        <w:rPr>
          <w:sz w:val="24"/>
        </w:rPr>
        <w:t xml:space="preserve">государственных услуг в многофункциональных центрах</w:t>
      </w:r>
    </w:p>
    <w:p>
      <w:pPr>
        <w:pStyle w:val="2"/>
        <w:jc w:val="center"/>
      </w:pPr>
      <w:r>
        <w:rPr>
          <w:sz w:val="24"/>
        </w:rPr>
        <w:t xml:space="preserve">и особенности предоставления государственных услуг</w:t>
      </w:r>
    </w:p>
    <w:p>
      <w:pPr>
        <w:pStyle w:val="2"/>
        <w:jc w:val="center"/>
      </w:pPr>
      <w:r>
        <w:rPr>
          <w:sz w:val="24"/>
        </w:rPr>
        <w:t xml:space="preserve">в электронной форме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2.13.1. Услуги, необходимые и обязательные для предоставления государственной услуги, отсутствуют.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2.13.2. Для рассмотрения заявления о предоставлении государственной услуги и информирования заявителя о ходе ее рассмотрения, результате предоставления государственной услуги используется ГИС АСИЗ.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1"/>
        <w:jc w:val="center"/>
      </w:pPr>
      <w:r>
        <w:rPr>
          <w:sz w:val="24"/>
        </w:rPr>
        <w:t xml:space="preserve">III. Состав, последовательность и сроки</w:t>
      </w:r>
    </w:p>
    <w:p>
      <w:pPr>
        <w:pStyle w:val="2"/>
        <w:jc w:val="center"/>
      </w:pPr>
      <w:r>
        <w:rPr>
          <w:sz w:val="24"/>
        </w:rPr>
        <w:t xml:space="preserve">выполнения административных процедур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2"/>
        <w:jc w:val="center"/>
      </w:pPr>
      <w:r>
        <w:rPr>
          <w:sz w:val="24"/>
        </w:rPr>
        <w:t xml:space="preserve">3.1. Перечень административных процедур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Предоставление государственной услуги включает в себя следующие административные процедуры: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а) прием заявления и документов и (или) информации, необходимых для предоставления государственной услуги;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б) межведомственное информационное взаимодействие;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в) приостановление предоставления государственной услуги;</w:t>
      </w:r>
    </w:p>
    <w:p>
      <w:pPr>
        <w:spacing w:before="0"/>
        <w:spacing w:after="1"/>
      </w:pPr>
    </w:p>
    <w:tbl>
      <w:tblPr>
        <w:tblInd w:w="0" w:type="dxa"/>
        <w:tblW w:w="5000" w:type="pct"/>
        <w:tblBorders>
          <w:top w:val="nil"/>
          <w:left w:val="nil"/>
          <w:bottom w:val="nil"/>
          <w:right w:val="nil"/>
          <w:insideV w:val="nil"/>
          <w:insideH w:val="nil"/>
        </w:tblBorders>
      </w:tblPr>
      <w:tblGrid>
        <w:gridCol w:w="60"/>
        <w:gridCol w:w="113"/>
        <w:gridCol w:w="9921"/>
        <w:gridCol w:w="113"/>
      </w:tblGrid>
      <w:tr>
        <w:tc>
          <w:tcPr>
            <w:tcW w:w="60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ced3f1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0" w:type="auto"/>
            <w:tcMar>
              <w:top w:w="113" w:type="dxa"/>
              <w:left w:w="0" w:type="dxa"/>
              <w:bottom w:w="113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both"/>
            </w:pPr>
            <w:r>
              <w:rPr>
                <w:sz w:val="24"/>
                <w:color w:val="392c69"/>
              </w:rPr>
              <w:t xml:space="preserve">КонсультантПлюс: примечание.</w:t>
            </w:r>
          </w:p>
          <w:p>
            <w:pPr>
              <w:pStyle w:val="0"/>
              <w:jc w:val="both"/>
            </w:pPr>
            <w:r>
              <w:rPr>
                <w:sz w:val="24"/>
                <w:color w:val="392c69"/>
              </w:rPr>
              <w:t xml:space="preserve">Нумерация пунктов дана в соответствии с официальным источником публикации.</w:t>
            </w:r>
          </w:p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</w:tr>
    </w:tbl>
    <w:p>
      <w:pPr>
        <w:pStyle w:val="0"/>
        <w:spacing w:before="300" w:line-rule="auto"/>
        <w:ind w:firstLine="540"/>
        <w:jc w:val="both"/>
      </w:pPr>
      <w:r>
        <w:rPr>
          <w:sz w:val="24"/>
        </w:rPr>
        <w:t xml:space="preserve">д) принятие решения о предоставлении (об отказе в предоставлении) государственной услуги;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е) проверка Соглашения на наличие условий, ухудшающих положение работников по сравнению с трудовым законодательством и иными нормативными правовыми актами, содержащими нормы трудового права;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ж) предоставление результата государственной услуги.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2"/>
        <w:jc w:val="center"/>
      </w:pPr>
      <w:r>
        <w:rPr>
          <w:sz w:val="24"/>
        </w:rPr>
        <w:t xml:space="preserve">3.2. Прием заявления и документов и (или) информации,</w:t>
      </w:r>
    </w:p>
    <w:p>
      <w:pPr>
        <w:pStyle w:val="2"/>
        <w:jc w:val="center"/>
      </w:pPr>
      <w:r>
        <w:rPr>
          <w:sz w:val="24"/>
        </w:rPr>
        <w:t xml:space="preserve">необходимых для предоставления государственной услуги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3.2.1. Основанием для начала выполнения административной процедуры является поступление в Министерство заявления и прилагаемых к нему документов, предусмотренных </w:t>
      </w:r>
      <w:hyperlink w:history="0" w:anchor="P90" w:tooltip="2.5.1. Для предоставления государственной услуги заявитель представляет (направляет) в Министерство следующие документы:">
        <w:r>
          <w:rPr>
            <w:sz w:val="24"/>
            <w:color w:val="0000ff"/>
          </w:rPr>
          <w:t xml:space="preserve">пунктом 2.5.1</w:t>
        </w:r>
      </w:hyperlink>
      <w:r>
        <w:rPr>
          <w:sz w:val="24"/>
        </w:rPr>
        <w:t xml:space="preserve"> административного регламента.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3.2.2. Должностным лицом Министерства, ответственным за предоставление государственной услуги, устанавливается личность заявителя: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при подаче заявления на Едином портале заявитель авторизуются посредством подтвержденной учетной записи в федеральной государственной информационной системы "Единая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форме";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при личном обращении - на основании документа, удостоверяющего личность.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3.2.3. Основания для отказа в приеме заявления и прилагаемых к нему документов, необходимых для предоставления государственной услуги, отсутствуют.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3.2.4. Государственная услуга предоставляется Министерством.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3.2.5. Прием заявления, документов и (или) информации, необходимых для предоставления государственной услуги, осуществляется по месту нахождения заявителя на территории Вологодской области.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Возможность получения государственной услуги по экстерриториальному принципу отсутствует.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3.2.6. Регистрация заявления и прилагаемых к нему документов осуществляется в соответствии с </w:t>
      </w:r>
      <w:hyperlink w:history="0" w:anchor="P143" w:tooltip="2.10. Срок регистрации запроса заявителя">
        <w:r>
          <w:rPr>
            <w:sz w:val="24"/>
            <w:color w:val="0000ff"/>
          </w:rPr>
          <w:t xml:space="preserve">подразделом 2.10</w:t>
        </w:r>
      </w:hyperlink>
      <w:r>
        <w:rPr>
          <w:sz w:val="24"/>
        </w:rPr>
        <w:t xml:space="preserve"> административного регламента.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3.2.7. Результатом выполнения административной процедуры является получение должностным лицом Министерства, ответственным за предоставление государственной услуги, на рассмотрение зарегистрированного заявления и прилагаемых документов.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3.2.8. Максимальный срок выполнения административной процедуры составляет 1 календарный день со дня поступления заявления и прилагаемых документов в Министерство.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2"/>
        <w:jc w:val="center"/>
      </w:pPr>
      <w:r>
        <w:rPr>
          <w:sz w:val="24"/>
        </w:rPr>
        <w:t xml:space="preserve">3.3. Межведомственное информационное взаимодействие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Межведомственное информационное взаимодействие при предоставлении государственной услуги не осуществляется.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2"/>
        <w:jc w:val="center"/>
      </w:pPr>
      <w:r>
        <w:rPr>
          <w:sz w:val="24"/>
        </w:rPr>
        <w:t xml:space="preserve">3.4. Приостановление предоставления государственной услуги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3.4.1. Основанием для начала выполнения административной процедуры является регистрация заявления и прилагаемых документов без Соглашения и/или недостаточного количества экземпляров Соглашения на бумажных носителях.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3.4.2. В случае поступления заявления и прилагаемых документов в электронной форме должностное лицо Министерства, ответственное за предоставление государственной услуги, в течение 2 календарных дней после дня регистрации заявления и прилагаемых к нему документов связывается по электронной почте или посредством телефонной связи с заявителем и уведомляет его о приостановлении процедуры уведомительной регистрации Соглашения до предоставления Соглашения на бумажных носителях в количестве экземпляров, указанных в </w:t>
      </w:r>
      <w:hyperlink w:history="0" w:anchor="P90" w:tooltip="2.5.1. Для предоставления государственной услуги заявитель представляет (направляет) в Министерство следующие документы:">
        <w:r>
          <w:rPr>
            <w:sz w:val="24"/>
            <w:color w:val="0000ff"/>
          </w:rPr>
          <w:t xml:space="preserve">пункте 2.5.1</w:t>
        </w:r>
      </w:hyperlink>
      <w:r>
        <w:rPr>
          <w:sz w:val="24"/>
        </w:rPr>
        <w:t xml:space="preserve"> административного регламента.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3.4.3. Срок приостановления предоставления государственной услуги составляет не более 14 календарных дней после дня регистрации заявления и прилагаемых документов, поступивших без Соглашения и/или недостаточного количества экземпляров Соглашения на бумажных носителях.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2"/>
        <w:jc w:val="center"/>
      </w:pPr>
      <w:r>
        <w:rPr>
          <w:sz w:val="24"/>
        </w:rPr>
        <w:t xml:space="preserve">3.5. Принятие решения о предоставлении</w:t>
      </w:r>
    </w:p>
    <w:p>
      <w:pPr>
        <w:pStyle w:val="2"/>
        <w:jc w:val="center"/>
      </w:pPr>
      <w:r>
        <w:rPr>
          <w:sz w:val="24"/>
        </w:rPr>
        <w:t xml:space="preserve">(об отказе в предоставлении) государственной услуги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3.5.1. Основанием для начала выполнения административной процедуры является получение должностным лицом Министерства, ответственным за предоставление государственной услуги, зарегистрированного заявления и прилагаемых документов, предусмотренных </w:t>
      </w:r>
      <w:hyperlink w:history="0" w:anchor="P90" w:tooltip="2.5.1. Для предоставления государственной услуги заявитель представляет (направляет) в Министерство следующие документы:">
        <w:r>
          <w:rPr>
            <w:sz w:val="24"/>
            <w:color w:val="0000ff"/>
          </w:rPr>
          <w:t xml:space="preserve">пунктом 2.5.1</w:t>
        </w:r>
      </w:hyperlink>
      <w:r>
        <w:rPr>
          <w:sz w:val="24"/>
        </w:rPr>
        <w:t xml:space="preserve"> административного регламента, с достаточным количеством Соглашений на бумажных носителях.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3.5.2. При поступлении заявления и прилагаемых документов в электронной форме должностное лицо Министерства, ответственное за предоставление государственной услуги, в день получения заявления и прилагаемых документов проводит проверку усиленной квалифицированной электронной подписи, которой подписаны заявление и прилагаемые документы, в соответствии с требованиями законодательства, предъявляемого к электронным подписям.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государственной услуги.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Проверка простой электронной подписи не осуществляется.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3.5.3. Если в случае проверки электронной подписи заявителя на документах, указанных в </w:t>
      </w:r>
      <w:hyperlink w:history="0" w:anchor="P90" w:tooltip="2.5.1. Для предоставления государственной услуги заявитель представляет (направляет) в Министерство следующие документы:">
        <w:r>
          <w:rPr>
            <w:sz w:val="24"/>
            <w:color w:val="0000ff"/>
          </w:rPr>
          <w:t xml:space="preserve">пункте 2.5.1</w:t>
        </w:r>
      </w:hyperlink>
      <w:r>
        <w:rPr>
          <w:sz w:val="24"/>
        </w:rPr>
        <w:t xml:space="preserve"> административного регламента, установлено несоблюдение условий признания ее действительности, должностное лицо Министерства, ответственное за предоставление государственной услуги, в течение 1 календарного дня со дня окончания указанной проверки готовит уведомление об отказе в приеме к рассмотрению заявления и прилагаемых к нему документов на официальном бланке Министерства с указанием причин отказа за подписью министра труда и занятости области или иного уполномоченного должностного лица Министерства (далее - уполномоченное должностное лицо Министерства).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Уведомление об отказе в приеме к рассмотрению заявления и прилагаемых к нему документов направляется заявителю в форме электронного документа в личный кабинет заявителя на Едином портале либо по адресу электронной почты.</w:t>
      </w:r>
    </w:p>
    <w:bookmarkStart w:id="252" w:name="P252"/>
    <w:bookmarkEnd w:id="252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3.5.4. В случае поступления заявления и прилагаемых к нему документов на бумажном носителе и (или) в случае, если в результате проверки электронной подписи установлено соблюдение условий признания ее действительности (при поступлении заявления и прилагаемых к нему документов в электронной форме), должностное лицо Министерства, ответственное за предоставление государственной услуги, в течение 5 календарных дней после дня регистрации заявления и прилагаемых к нему документов проверяет заявление и все поступившие документы (сведения) на наличие (отсутствие) оснований для отказа в уведомительной регистрации Соглашения, предусмотренных </w:t>
      </w:r>
      <w:hyperlink w:history="0" w:anchor="P123" w:tooltip="2.7.3. Основаниями для принятия решения об отказе в уведомительной регистрации Соглашения являются:">
        <w:r>
          <w:rPr>
            <w:sz w:val="24"/>
            <w:color w:val="0000ff"/>
          </w:rPr>
          <w:t xml:space="preserve">пунктом 2.7.3</w:t>
        </w:r>
      </w:hyperlink>
      <w:r>
        <w:rPr>
          <w:sz w:val="24"/>
        </w:rPr>
        <w:t xml:space="preserve"> административного регламента.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3.5.5. В случае наличия оснований для отказа в предоставлении государственной услуги, предусмотренных </w:t>
      </w:r>
      <w:hyperlink w:history="0" w:anchor="P123" w:tooltip="2.7.3. Основаниями для принятия решения об отказе в уведомительной регистрации Соглашения являются:">
        <w:r>
          <w:rPr>
            <w:sz w:val="24"/>
            <w:color w:val="0000ff"/>
          </w:rPr>
          <w:t xml:space="preserve">пунктом 2.7.3</w:t>
        </w:r>
      </w:hyperlink>
      <w:r>
        <w:rPr>
          <w:sz w:val="24"/>
        </w:rPr>
        <w:t xml:space="preserve"> административного регламента, должностное лицо Министерства, ответственное за предоставление государственной услуги, в течение 1 календарного дня после дня окончания проверки, указанной в </w:t>
      </w:r>
      <w:hyperlink w:history="0" w:anchor="P252" w:tooltip="3.5.4. В случае поступления заявления и прилагаемых к нему документов на бумажном носителе и (или) в случае, если в результате проверки электронной подписи установлено соблюдение условий признания ее действительности (при поступлении заявления и прилагаемых к нему документов в электронной форме), должностное лицо Министерства, ответственное за предоставление государственной услуги, в течение 5 календарных дней после дня регистрации заявления и прилагаемых к нему документов проверяет заявление и все посту...">
        <w:r>
          <w:rPr>
            <w:sz w:val="24"/>
            <w:color w:val="0000ff"/>
          </w:rPr>
          <w:t xml:space="preserve">пункте 3.5.4</w:t>
        </w:r>
      </w:hyperlink>
      <w:r>
        <w:rPr>
          <w:sz w:val="24"/>
        </w:rPr>
        <w:t xml:space="preserve"> административного регламента, готовит уведомление об отказе в регистрации Соглашения в форме уведомления с указанием причин отказа за подписью уполномоченного должностного лица Министерства.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3.5.6. В случае отсутствия оснований для отказа в предоставлении государственной услуги, предусмотренных </w:t>
      </w:r>
      <w:hyperlink w:history="0" w:anchor="P123" w:tooltip="2.7.3. Основаниями для принятия решения об отказе в уведомительной регистрации Соглашения являются:">
        <w:r>
          <w:rPr>
            <w:sz w:val="24"/>
            <w:color w:val="0000ff"/>
          </w:rPr>
          <w:t xml:space="preserve">пунктом 2.7.3</w:t>
        </w:r>
      </w:hyperlink>
      <w:r>
        <w:rPr>
          <w:sz w:val="24"/>
        </w:rPr>
        <w:t xml:space="preserve"> административного регламента, должностное лицо Министерства, ответственное за предоставление государственной услуги, осуществляет регистрацию Соглашения путем проставления штампа с регистрационным номером и датой регистрации Соглашения (согласно </w:t>
      </w:r>
      <w:hyperlink w:history="0" w:anchor="P384" w:tooltip="Приложение N 3">
        <w:r>
          <w:rPr>
            <w:sz w:val="24"/>
            <w:color w:val="0000ff"/>
          </w:rPr>
          <w:t xml:space="preserve">приложению 3</w:t>
        </w:r>
      </w:hyperlink>
      <w:r>
        <w:rPr>
          <w:sz w:val="24"/>
        </w:rPr>
        <w:t xml:space="preserve"> к административному регламенту).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Штамп ставится на листе с подписями представителей сторон коллективных переговоров на каждом экземпляре Соглашения. Регистрационный номер, дата регистрации и информация о сторонах коллективных переговоров фиксируются </w:t>
      </w:r>
      <w:hyperlink w:history="0" w:anchor="P349" w:tooltip="ЖУРНАЛ">
        <w:r>
          <w:rPr>
            <w:sz w:val="24"/>
            <w:color w:val="0000ff"/>
          </w:rPr>
          <w:t xml:space="preserve">Журнале</w:t>
        </w:r>
      </w:hyperlink>
      <w:r>
        <w:rPr>
          <w:sz w:val="24"/>
        </w:rPr>
        <w:t xml:space="preserve"> уведомительной регистрации Соглашений в соответствии приложением N 2 к административному регламенту.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3.5.7. Результатом выполнения административной процедуры является: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принятие решения о регистрации Соглашения;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принятие решения об отказе в предоставлении государственной услуги и получение должностным лицом Министерства, ответственным за предоставление государственной услуги, подписанного уведомления об отказе в регистрации Соглашения.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3.5.8. Максимальный срок выполнения административной процедуры составляет не более 5 календарных дней со дня получения должностным лицом Министерства, ответственным за предоставление государственной услуги, Соглашения на бумажных носителях.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2"/>
        <w:jc w:val="center"/>
      </w:pPr>
      <w:r>
        <w:rPr>
          <w:sz w:val="24"/>
        </w:rPr>
        <w:t xml:space="preserve">3.6. Проверка Соглашения на наличие условий, ухудшающих</w:t>
      </w:r>
    </w:p>
    <w:p>
      <w:pPr>
        <w:pStyle w:val="2"/>
        <w:jc w:val="center"/>
      </w:pPr>
      <w:r>
        <w:rPr>
          <w:sz w:val="24"/>
        </w:rPr>
        <w:t xml:space="preserve">положение работников по сравнению с трудовым</w:t>
      </w:r>
    </w:p>
    <w:p>
      <w:pPr>
        <w:pStyle w:val="2"/>
        <w:jc w:val="center"/>
      </w:pPr>
      <w:r>
        <w:rPr>
          <w:sz w:val="24"/>
        </w:rPr>
        <w:t xml:space="preserve">законодательством и иными нормативными правовыми</w:t>
      </w:r>
    </w:p>
    <w:p>
      <w:pPr>
        <w:pStyle w:val="2"/>
        <w:jc w:val="center"/>
      </w:pPr>
      <w:r>
        <w:rPr>
          <w:sz w:val="24"/>
        </w:rPr>
        <w:t xml:space="preserve">актами, содержащими нормы трудового права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3.6.1. Основанием для начала выполнения административной процедуры является принятие решения о регистрации Соглашения.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3.6.2. Должностное лицо Министерства, ответственное за предоставление государственной услуги, специалисты Министерства, в должностные обязанности которых входит проверка Соглашений, в пределах установленной компетенции: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- проводят проверку Соглашения;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- выявляют в ходе проверки условия, ухудшающие положение работников по сравнению с трудовым законодательством и иными нормативными правовыми актами, содержащими нормы трудового права (далее - условия, ухудшающие положение работников).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3.6.3. Условиями, ухудшающими положение работников, являются: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1) условия Соглашения, ограничивающие права работников по сравнению с установленными трудовым законодательством и иными нормативными правовыми актами, содержащими нормы трудового права;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2) условия Соглашения, снижающие уровень гарантий работников по сравнению с установленными трудовым законодательством и иными нормативными правовыми актами, содержащими нормы трудового права;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3) в тексте Соглашения содержатся условия, противоречащие трудовому законодательству и иным нормативным правовым актам, содержащим нормы трудового права, а также его нарушения.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3.6.4. По результатам проверки Соглашения составляются рекомендации, в которых указываются конкретные пункты Соглашения, содержащие условия, ухудшающие положение работников, а также предложения по улучшению содержания Соглашения (далее - Рекомендации).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Если в ходе выполнения административной процедуры не выявлены условия, ухудшающие положение работников, в Рекомендации вносится запись "замечаний не выявлено".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3.6.5. Рекомендации специалистов Министерства передаются должностному лицу Министерства, ответственному за предоставление государственной услуги, для составления общего уведомления.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3.6.6. Должностное лицо Министерства, ответственное за предоставление государственной услуги, в день поступления Рекомендаций готовит: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- уведомление о регистрации Соглашения с указанием условий, ухудшающих положение работников, и направляет его уполномоченному должностному лицу Министерства на подпись;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- уведомление о регистрации Соглашения с указанием на отсутствие условий, ухудшающих положение работников, и направляет его уполномоченному должностному лицу Министерства на подпись.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3.6.7. Уполномоченное должностное лицо Министерства после подписания уведомления о регистрации Соглашения передает его должностному лицу Министерства, ответственному за предоставление государственной услуги.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3.6.8. Результатом выполнения административной процедуры является получение должностным лицом Министерства, ответственным за предоставление государственной услуги, подписанного уведомления о регистрации Соглашения.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3.6.9. Максимальный срок выполнения административной процедуры составляет 23 календарных дня.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2"/>
        <w:jc w:val="center"/>
      </w:pPr>
      <w:r>
        <w:rPr>
          <w:sz w:val="24"/>
        </w:rPr>
        <w:t xml:space="preserve">3.7. Предоставление результата государственной услуги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3.7.1. Основанием для начала выполнения административной процедуры является получение должностным лицом Министерства, ответственным за предоставление государственной услуги, подписанного уведомления о регистрации Соглашения либо уведомления об отказе в регистрации Соглашения.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3.7.2. Должностное лицо Министерства, ответственное за предоставление государственной услуги: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а) в день принятия решения заносит решение в ГИС АСИЗ и направляет уведомление о принятом решении посредством Единого портала;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б) в течение 1 календарного дня со дня принятия решения обеспечивает направление (вручение) заявителю уведомления об отказе в регистрации, уведомления о регистрации Соглашения путем направления заказного почтового отправления с уведомлением о вручении по почтовому адресу, адресу электронной почты, указанному в заявлении, лично под роспись (по выбору заявителя).</w:t>
      </w:r>
    </w:p>
    <w:p>
      <w:pPr>
        <w:spacing w:before="0"/>
        <w:spacing w:after="1"/>
      </w:pPr>
    </w:p>
    <w:tbl>
      <w:tblPr>
        <w:tblInd w:w="0" w:type="dxa"/>
        <w:tblW w:w="5000" w:type="pct"/>
        <w:tblBorders>
          <w:top w:val="nil"/>
          <w:left w:val="nil"/>
          <w:bottom w:val="nil"/>
          <w:right w:val="nil"/>
          <w:insideV w:val="nil"/>
          <w:insideH w:val="nil"/>
        </w:tblBorders>
      </w:tblPr>
      <w:tblGrid>
        <w:gridCol w:w="60"/>
        <w:gridCol w:w="113"/>
        <w:gridCol w:w="9921"/>
        <w:gridCol w:w="113"/>
      </w:tblGrid>
      <w:tr>
        <w:tc>
          <w:tcPr>
            <w:tcW w:w="60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ced3f1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0" w:type="auto"/>
            <w:tcMar>
              <w:top w:w="113" w:type="dxa"/>
              <w:left w:w="0" w:type="dxa"/>
              <w:bottom w:w="113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both"/>
            </w:pPr>
            <w:r>
              <w:rPr>
                <w:sz w:val="24"/>
                <w:color w:val="392c69"/>
              </w:rPr>
              <w:t xml:space="preserve">КонсультантПлюс: примечание.</w:t>
            </w:r>
          </w:p>
          <w:p>
            <w:pPr>
              <w:pStyle w:val="0"/>
              <w:jc w:val="both"/>
            </w:pPr>
            <w:r>
              <w:rPr>
                <w:sz w:val="24"/>
                <w:color w:val="392c69"/>
              </w:rPr>
              <w:t xml:space="preserve">Нумерация пунктов дана в соответствии с официальным источником публикации.</w:t>
            </w:r>
          </w:p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</w:tr>
    </w:tbl>
    <w:p>
      <w:pPr>
        <w:pStyle w:val="0"/>
        <w:spacing w:before="300" w:line-rule="auto"/>
        <w:ind w:firstLine="540"/>
        <w:jc w:val="both"/>
      </w:pPr>
      <w:r>
        <w:rPr>
          <w:sz w:val="24"/>
        </w:rPr>
        <w:t xml:space="preserve">3.7.4. Максимальный срок выполнения административной процедуры составляет 1 календарный день.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3.7.5. Результатом выполнения административной процедуры является направление (вручение) заявителю уведомления об отказе в регистрации Соглашения, уведомления о регистрации Соглашения.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outlineLvl w:val="1"/>
        <w:jc w:val="right"/>
      </w:pPr>
      <w:r>
        <w:rPr>
          <w:sz w:val="24"/>
        </w:rPr>
        <w:t xml:space="preserve">Приложение N 1</w:t>
      </w:r>
    </w:p>
    <w:p>
      <w:pPr>
        <w:pStyle w:val="0"/>
        <w:jc w:val="right"/>
      </w:pPr>
      <w:r>
        <w:rPr>
          <w:sz w:val="24"/>
        </w:rPr>
        <w:t xml:space="preserve">к Административному регламенту</w:t>
      </w:r>
    </w:p>
    <w:p>
      <w:pPr>
        <w:pStyle w:val="0"/>
        <w:jc w:val="both"/>
      </w:pPr>
      <w:r>
        <w:rPr>
          <w:sz w:val="24"/>
        </w:rPr>
      </w:r>
    </w:p>
    <w:tbl>
      <w:tblPr>
        <w:tblInd w:w="0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2147"/>
        <w:gridCol w:w="1463"/>
        <w:gridCol w:w="925"/>
        <w:gridCol w:w="1775"/>
        <w:gridCol w:w="2352"/>
        <w:gridCol w:w="409"/>
      </w:tblGrid>
      <w:tr>
        <w:tc>
          <w:tcPr>
            <w:gridSpan w:val="6"/>
            <w:tcW w:w="9071" w:type="dxa"/>
            <w:tcBorders>
              <w:top w:val="nil"/>
              <w:left w:val="nil"/>
              <w:bottom w:val="nil"/>
              <w:right w:val="nil"/>
            </w:tcBorders>
          </w:tcPr>
          <w:bookmarkStart w:id="302" w:name="P302"/>
          <w:bookmarkEnd w:id="302"/>
          <w:p>
            <w:pPr>
              <w:pStyle w:val="0"/>
              <w:jc w:val="center"/>
            </w:pPr>
            <w:r>
              <w:rPr>
                <w:sz w:val="24"/>
              </w:rPr>
              <w:t xml:space="preserve">ФОРМА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обращения на уведомительную регистрацию Соглашения</w:t>
            </w:r>
          </w:p>
        </w:tc>
      </w:tr>
      <w:tr>
        <w:tc>
          <w:tcPr>
            <w:gridSpan w:val="6"/>
            <w:tcW w:w="907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3"/>
            <w:tcW w:w="4535" w:type="dxa"/>
            <w:tcBorders>
              <w:top w:val="nil"/>
              <w:left w:val="nil"/>
              <w:bottom w:val="nil"/>
              <w:right w:val="nil"/>
            </w:tcBorders>
            <w:vMerge w:val="restart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gridSpan w:val="3"/>
            <w:tcW w:w="453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  <w:t xml:space="preserve">Министру труда и занятости населения Вологодской области</w:t>
            </w:r>
          </w:p>
        </w:tc>
      </w:tr>
      <w:tr>
        <w:tc>
          <w:tcPr>
            <w:gridSpan w:val="3"/>
            <w:tcBorders>
              <w:top w:val="nil"/>
              <w:left w:val="nil"/>
              <w:bottom w:val="nil"/>
              <w:right w:val="nil"/>
            </w:tcBorders>
            <w:vMerge w:val="continue"/>
          </w:tcPr>
          <w:p/>
        </w:tc>
        <w:tc>
          <w:tcPr>
            <w:gridSpan w:val="3"/>
            <w:tcW w:w="4536" w:type="dxa"/>
            <w:tcBorders>
              <w:top w:val="nil"/>
              <w:left w:val="nil"/>
              <w:bottom w:val="single" w:sz="4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3"/>
            <w:tcBorders>
              <w:top w:val="nil"/>
              <w:left w:val="nil"/>
              <w:bottom w:val="nil"/>
              <w:right w:val="nil"/>
            </w:tcBorders>
            <w:vMerge w:val="continue"/>
          </w:tcPr>
          <w:p/>
        </w:tc>
        <w:tc>
          <w:tcPr>
            <w:gridSpan w:val="3"/>
            <w:tcW w:w="4536" w:type="dxa"/>
            <w:tcBorders>
              <w:top w:val="single" w:sz="4"/>
              <w:left w:val="nil"/>
              <w:bottom w:val="nil"/>
              <w:right w:val="nil"/>
            </w:tcBorders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Ф.И.О.</w:t>
            </w:r>
          </w:p>
        </w:tc>
      </w:tr>
      <w:tr>
        <w:tc>
          <w:tcPr>
            <w:gridSpan w:val="3"/>
            <w:tcBorders>
              <w:top w:val="nil"/>
              <w:left w:val="nil"/>
              <w:bottom w:val="nil"/>
              <w:right w:val="nil"/>
            </w:tcBorders>
            <w:vMerge w:val="continue"/>
          </w:tcPr>
          <w:p/>
        </w:tc>
        <w:tc>
          <w:tcPr>
            <w:gridSpan w:val="3"/>
            <w:tcW w:w="453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both"/>
            </w:pPr>
            <w:r>
              <w:rPr>
                <w:sz w:val="24"/>
              </w:rPr>
              <w:t xml:space="preserve">От ________________________________</w:t>
            </w:r>
          </w:p>
        </w:tc>
      </w:tr>
      <w:tr>
        <w:tc>
          <w:tcPr>
            <w:gridSpan w:val="3"/>
            <w:tcBorders>
              <w:top w:val="nil"/>
              <w:left w:val="nil"/>
              <w:bottom w:val="nil"/>
              <w:right w:val="nil"/>
            </w:tcBorders>
            <w:vMerge w:val="continue"/>
          </w:tcPr>
          <w:p/>
        </w:tc>
        <w:tc>
          <w:tcPr>
            <w:gridSpan w:val="3"/>
            <w:tcW w:w="4536" w:type="dxa"/>
            <w:tcBorders>
              <w:top w:val="nil"/>
              <w:left w:val="nil"/>
              <w:bottom w:val="single" w:sz="4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3"/>
            <w:tcBorders>
              <w:top w:val="nil"/>
              <w:left w:val="nil"/>
              <w:bottom w:val="nil"/>
              <w:right w:val="nil"/>
            </w:tcBorders>
            <w:vMerge w:val="continue"/>
          </w:tcPr>
          <w:p/>
        </w:tc>
        <w:tc>
          <w:tcPr>
            <w:gridSpan w:val="3"/>
            <w:tcW w:w="4536" w:type="dxa"/>
            <w:tcBorders>
              <w:top w:val="single" w:sz="4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  <w:t xml:space="preserve">Ф.И.О., почтовый адрес, адрес электронной почты, контактный телефон</w:t>
            </w:r>
          </w:p>
        </w:tc>
      </w:tr>
      <w:tr>
        <w:tc>
          <w:tcPr>
            <w:gridSpan w:val="6"/>
            <w:tcW w:w="907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6"/>
            <w:tcW w:w="907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Прошу провести уведомительную регистрацию Соглашения</w:t>
            </w:r>
          </w:p>
        </w:tc>
      </w:tr>
      <w:tr>
        <w:tc>
          <w:tcPr>
            <w:gridSpan w:val="6"/>
            <w:tcW w:w="9071" w:type="dxa"/>
            <w:tcBorders>
              <w:top w:val="nil"/>
              <w:left w:val="nil"/>
              <w:bottom w:val="single" w:sz="4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blPrEx>
          <w:tblBorders>
            <w:insideH w:val="single" w:sz="4"/>
          </w:tblBorders>
        </w:tblPrEx>
        <w:tc>
          <w:tcPr>
            <w:gridSpan w:val="5"/>
            <w:tcW w:w="8662" w:type="dxa"/>
            <w:tcBorders>
              <w:top w:val="single" w:sz="4"/>
              <w:left w:val="nil"/>
              <w:bottom w:val="single" w:sz="4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409" w:type="dxa"/>
            <w:tcBorders>
              <w:top w:val="single" w:sz="4"/>
              <w:left w:val="nil"/>
              <w:bottom w:val="nil"/>
              <w:right w:val="nil"/>
            </w:tcBorders>
          </w:tcPr>
          <w:p>
            <w:pPr>
              <w:pStyle w:val="0"/>
              <w:jc w:val="both"/>
            </w:pPr>
            <w:r>
              <w:rPr>
                <w:sz w:val="24"/>
              </w:rPr>
              <w:t xml:space="preserve">,</w:t>
            </w:r>
          </w:p>
        </w:tc>
      </w:tr>
      <w:tr>
        <w:tc>
          <w:tcPr>
            <w:gridSpan w:val="5"/>
            <w:tcW w:w="8662" w:type="dxa"/>
            <w:tcBorders>
              <w:top w:val="single" w:sz="4"/>
              <w:left w:val="nil"/>
              <w:bottom w:val="nil"/>
              <w:right w:val="nil"/>
            </w:tcBorders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(наименование Соглашения)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6"/>
            <w:tcW w:w="907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both"/>
            </w:pPr>
            <w:r>
              <w:rPr>
                <w:sz w:val="24"/>
              </w:rPr>
              <w:t xml:space="preserve">заключенного между</w:t>
            </w:r>
          </w:p>
        </w:tc>
      </w:tr>
      <w:tr>
        <w:tc>
          <w:tcPr>
            <w:gridSpan w:val="6"/>
            <w:tcW w:w="9071" w:type="dxa"/>
            <w:tcBorders>
              <w:top w:val="nil"/>
              <w:left w:val="nil"/>
              <w:bottom w:val="single" w:sz="4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6"/>
            <w:tcW w:w="9071" w:type="dxa"/>
            <w:tcBorders>
              <w:top w:val="single" w:sz="4"/>
              <w:left w:val="nil"/>
              <w:bottom w:val="nil"/>
              <w:right w:val="nil"/>
            </w:tcBorders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(наименования сторон Соглашения)</w:t>
            </w:r>
          </w:p>
        </w:tc>
      </w:tr>
      <w:tr>
        <w:tc>
          <w:tcPr>
            <w:gridSpan w:val="6"/>
            <w:tcW w:w="907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both"/>
            </w:pPr>
            <w:r>
              <w:rPr>
                <w:sz w:val="24"/>
              </w:rPr>
              <w:t xml:space="preserve">на _____ год (годы).</w:t>
            </w:r>
          </w:p>
        </w:tc>
      </w:tr>
      <w:tr>
        <w:tc>
          <w:tcPr>
            <w:gridSpan w:val="6"/>
            <w:tcW w:w="907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6"/>
            <w:tcW w:w="907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  <w:t xml:space="preserve">Дополнительные сведения:</w:t>
            </w:r>
          </w:p>
          <w:p>
            <w:pPr>
              <w:pStyle w:val="0"/>
              <w:jc w:val="both"/>
            </w:pPr>
            <w:r>
              <w:rPr>
                <w:sz w:val="24"/>
              </w:rPr>
              <w:t xml:space="preserve">1. О представителях сторон, подписавших Соглашение (фамилии, имена, отчества полностью, контактные телефоны).</w:t>
            </w:r>
          </w:p>
          <w:p>
            <w:pPr>
              <w:pStyle w:val="0"/>
              <w:jc w:val="both"/>
            </w:pPr>
            <w:r>
              <w:rPr>
                <w:sz w:val="24"/>
              </w:rPr>
              <w:t xml:space="preserve">2. О количестве организаций и численности работников в этих организациях всего, на которых распространяется действие Соглашения.</w:t>
            </w:r>
          </w:p>
        </w:tc>
      </w:tr>
      <w:tr>
        <w:tc>
          <w:tcPr>
            <w:gridSpan w:val="6"/>
            <w:tcW w:w="907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6"/>
            <w:tcW w:w="907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  <w:t xml:space="preserve">Приложения:</w:t>
            </w:r>
          </w:p>
          <w:p>
            <w:pPr>
              <w:pStyle w:val="0"/>
            </w:pPr>
            <w:r>
              <w:rPr>
                <w:sz w:val="24"/>
              </w:rPr>
              <w:t xml:space="preserve">Соглашение (с приложениями) в количестве экземпляров.</w:t>
            </w:r>
          </w:p>
        </w:tc>
      </w:tr>
      <w:tr>
        <w:tc>
          <w:tcPr>
            <w:gridSpan w:val="6"/>
            <w:tcW w:w="907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6"/>
            <w:tcW w:w="907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both"/>
            </w:pPr>
            <w:r>
              <w:rPr>
                <w:sz w:val="24"/>
              </w:rPr>
              <w:t xml:space="preserve">Способ получения результата предоставления государственной услуги (путем личного обращения, посредством почтовой связи, по электронной почте)</w:t>
            </w:r>
          </w:p>
        </w:tc>
      </w:tr>
      <w:tr>
        <w:tc>
          <w:tcPr>
            <w:gridSpan w:val="6"/>
            <w:tcW w:w="907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4"/>
            <w:tcW w:w="631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  <w:t xml:space="preserve">Руководитель (председатель)</w:t>
            </w:r>
          </w:p>
          <w:p>
            <w:pPr>
              <w:pStyle w:val="0"/>
            </w:pPr>
            <w:r>
              <w:rPr>
                <w:sz w:val="24"/>
              </w:rPr>
              <w:t xml:space="preserve">объединения работодателей</w:t>
            </w:r>
          </w:p>
          <w:p>
            <w:pPr>
              <w:pStyle w:val="0"/>
            </w:pPr>
            <w:r>
              <w:rPr>
                <w:sz w:val="24"/>
              </w:rPr>
              <w:t xml:space="preserve">(его заместитель)</w:t>
            </w:r>
          </w:p>
        </w:tc>
        <w:tc>
          <w:tcPr>
            <w:gridSpan w:val="2"/>
            <w:tcW w:w="2761" w:type="dxa"/>
            <w:tcBorders>
              <w:top w:val="nil"/>
              <w:left w:val="nil"/>
              <w:bottom w:val="single" w:sz="4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463" w:type="dxa"/>
            <w:tcBorders>
              <w:top w:val="single" w:sz="4"/>
              <w:left w:val="nil"/>
              <w:bottom w:val="nil"/>
              <w:right w:val="nil"/>
            </w:tcBorders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(подпись)</w:t>
            </w:r>
          </w:p>
        </w:tc>
        <w:tc>
          <w:tcPr>
            <w:gridSpan w:val="2"/>
            <w:tcW w:w="270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gridSpan w:val="2"/>
            <w:tcW w:w="2761" w:type="dxa"/>
            <w:tcBorders>
              <w:top w:val="single" w:sz="4"/>
              <w:left w:val="nil"/>
              <w:bottom w:val="nil"/>
              <w:right w:val="nil"/>
            </w:tcBorders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(Ф.И.О.)</w:t>
            </w:r>
          </w:p>
        </w:tc>
      </w:tr>
    </w:tbl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outlineLvl w:val="1"/>
        <w:jc w:val="right"/>
      </w:pPr>
      <w:r>
        <w:rPr>
          <w:sz w:val="24"/>
        </w:rPr>
        <w:t xml:space="preserve">Приложение N 2</w:t>
      </w:r>
    </w:p>
    <w:p>
      <w:pPr>
        <w:pStyle w:val="0"/>
        <w:jc w:val="right"/>
      </w:pPr>
      <w:r>
        <w:rPr>
          <w:sz w:val="24"/>
        </w:rPr>
        <w:t xml:space="preserve">к Административному регламенту</w:t>
      </w:r>
    </w:p>
    <w:p>
      <w:pPr>
        <w:pStyle w:val="0"/>
        <w:jc w:val="both"/>
      </w:pPr>
      <w:r>
        <w:rPr>
          <w:sz w:val="24"/>
        </w:rPr>
      </w:r>
    </w:p>
    <w:bookmarkStart w:id="349" w:name="P349"/>
    <w:bookmarkEnd w:id="349"/>
    <w:p>
      <w:pPr>
        <w:pStyle w:val="0"/>
        <w:jc w:val="center"/>
      </w:pPr>
      <w:r>
        <w:rPr>
          <w:sz w:val="24"/>
        </w:rPr>
        <w:t xml:space="preserve">ЖУРНАЛ</w:t>
      </w:r>
    </w:p>
    <w:p>
      <w:pPr>
        <w:pStyle w:val="0"/>
        <w:jc w:val="center"/>
      </w:pPr>
      <w:r>
        <w:rPr>
          <w:sz w:val="24"/>
        </w:rPr>
        <w:t xml:space="preserve">уведомительной регистрации Соглашений</w:t>
      </w:r>
    </w:p>
    <w:p>
      <w:pPr>
        <w:pStyle w:val="0"/>
        <w:jc w:val="both"/>
      </w:pPr>
      <w:r>
        <w:rPr>
          <w:sz w:val="24"/>
        </w:rPr>
      </w:r>
    </w:p>
    <w:tbl>
      <w:tblPr>
        <w:tblInd w:w="0" w:type="dxa"/>
        <w:tblLayout w:type="fixed"/>
        <w:tblBorders>
          <w:top w:val="single" w:sz="4"/>
          <w:left w:val="single" w:sz="4"/>
          <w:bottom w:val="single" w:sz="4"/>
          <w:right w:val="single" w:sz="4"/>
          <w:insideV w:val="single" w:sz="4"/>
          <w:insideH w:val="single" w:sz="4"/>
        </w:tblBorders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67"/>
        <w:gridCol w:w="8504"/>
      </w:tblGrid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N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п/п</w:t>
            </w:r>
          </w:p>
        </w:tc>
        <w:tc>
          <w:tcPr>
            <w:tcW w:w="850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Содержание</w:t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</w:t>
            </w:r>
          </w:p>
        </w:tc>
        <w:tc>
          <w:tcPr>
            <w:tcW w:w="8504" w:type="dxa"/>
          </w:tcPr>
          <w:p>
            <w:pPr>
              <w:pStyle w:val="0"/>
            </w:pPr>
            <w:r>
              <w:rPr>
                <w:sz w:val="24"/>
              </w:rPr>
              <w:t xml:space="preserve">Дата поступления Соглашения в Министерство</w:t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</w:t>
            </w:r>
          </w:p>
        </w:tc>
        <w:tc>
          <w:tcPr>
            <w:tcW w:w="8504" w:type="dxa"/>
          </w:tcPr>
          <w:p>
            <w:pPr>
              <w:pStyle w:val="0"/>
            </w:pPr>
            <w:r>
              <w:rPr>
                <w:sz w:val="24"/>
              </w:rPr>
              <w:t xml:space="preserve">Наименование Соглашения</w:t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</w:t>
            </w:r>
          </w:p>
        </w:tc>
        <w:tc>
          <w:tcPr>
            <w:tcW w:w="8504" w:type="dxa"/>
          </w:tcPr>
          <w:p>
            <w:pPr>
              <w:pStyle w:val="0"/>
            </w:pPr>
            <w:r>
              <w:rPr>
                <w:sz w:val="24"/>
              </w:rPr>
              <w:t xml:space="preserve">Представители сторон Соглашения (Ф.И.О., должности, контакты)</w:t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4</w:t>
            </w:r>
          </w:p>
        </w:tc>
        <w:tc>
          <w:tcPr>
            <w:tcW w:w="8504" w:type="dxa"/>
          </w:tcPr>
          <w:p>
            <w:pPr>
              <w:pStyle w:val="0"/>
            </w:pPr>
            <w:r>
              <w:rPr>
                <w:sz w:val="24"/>
              </w:rPr>
              <w:t xml:space="preserve">Дата подписания Соглашения</w:t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5</w:t>
            </w:r>
          </w:p>
        </w:tc>
        <w:tc>
          <w:tcPr>
            <w:tcW w:w="8504" w:type="dxa"/>
          </w:tcPr>
          <w:p>
            <w:pPr>
              <w:pStyle w:val="0"/>
            </w:pPr>
            <w:r>
              <w:rPr>
                <w:sz w:val="24"/>
              </w:rPr>
              <w:t xml:space="preserve">Дата вступления в силу Соглашения</w:t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6</w:t>
            </w:r>
          </w:p>
        </w:tc>
        <w:tc>
          <w:tcPr>
            <w:tcW w:w="8504" w:type="dxa"/>
          </w:tcPr>
          <w:p>
            <w:pPr>
              <w:pStyle w:val="0"/>
            </w:pPr>
            <w:r>
              <w:rPr>
                <w:sz w:val="24"/>
              </w:rPr>
              <w:t xml:space="preserve">Срок действия Соглашения</w:t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7</w:t>
            </w:r>
          </w:p>
        </w:tc>
        <w:tc>
          <w:tcPr>
            <w:tcW w:w="8504" w:type="dxa"/>
          </w:tcPr>
          <w:p>
            <w:pPr>
              <w:pStyle w:val="0"/>
            </w:pPr>
            <w:r>
              <w:rPr>
                <w:sz w:val="24"/>
              </w:rPr>
              <w:t xml:space="preserve">Дата и номер уведомительной регистрации Соглашения</w:t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8</w:t>
            </w:r>
          </w:p>
        </w:tc>
        <w:tc>
          <w:tcPr>
            <w:tcW w:w="8504" w:type="dxa"/>
          </w:tcPr>
          <w:p>
            <w:pPr>
              <w:pStyle w:val="0"/>
            </w:pPr>
            <w:r>
              <w:rPr>
                <w:sz w:val="24"/>
              </w:rPr>
              <w:t xml:space="preserve">Количество работников, на которых распространяется Соглашение</w:t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9</w:t>
            </w:r>
          </w:p>
        </w:tc>
        <w:tc>
          <w:tcPr>
            <w:tcW w:w="8504" w:type="dxa"/>
          </w:tcPr>
          <w:p>
            <w:pPr>
              <w:pStyle w:val="0"/>
            </w:pPr>
            <w:r>
              <w:rPr>
                <w:sz w:val="24"/>
              </w:rPr>
              <w:t xml:space="preserve">Количество организаций, на которые распространяется Соглашение</w:t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10</w:t>
            </w:r>
          </w:p>
        </w:tc>
        <w:tc>
          <w:tcPr>
            <w:tcW w:w="8504" w:type="dxa"/>
          </w:tcPr>
          <w:p>
            <w:pPr>
              <w:pStyle w:val="0"/>
            </w:pPr>
            <w:r>
              <w:rPr>
                <w:sz w:val="24"/>
              </w:rPr>
              <w:t xml:space="preserve">Дата и исходящий номер уведомления о проведении уведомительной регистрации Соглашения</w:t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11</w:t>
            </w:r>
          </w:p>
        </w:tc>
        <w:tc>
          <w:tcPr>
            <w:tcW w:w="8504" w:type="dxa"/>
          </w:tcPr>
          <w:p>
            <w:pPr>
              <w:pStyle w:val="0"/>
            </w:pPr>
            <w:r>
              <w:rPr>
                <w:sz w:val="24"/>
              </w:rPr>
              <w:t xml:space="preserve">Дата и номер уведомительной регистрации изменений и дополнений к Соглашению</w:t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12</w:t>
            </w:r>
          </w:p>
        </w:tc>
        <w:tc>
          <w:tcPr>
            <w:tcW w:w="8504" w:type="dxa"/>
          </w:tcPr>
          <w:p>
            <w:pPr>
              <w:pStyle w:val="0"/>
            </w:pPr>
            <w:r>
              <w:rPr>
                <w:sz w:val="24"/>
              </w:rPr>
              <w:t xml:space="preserve">Дата и регистрационный номер уведомления о дополнении к Соглашению</w:t>
            </w:r>
          </w:p>
        </w:tc>
      </w:tr>
    </w:tbl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bookmarkStart w:id="384" w:name="P384"/>
    <w:bookmarkEnd w:id="384"/>
    <w:p>
      <w:pPr>
        <w:pStyle w:val="0"/>
        <w:outlineLvl w:val="1"/>
        <w:jc w:val="right"/>
      </w:pPr>
      <w:r>
        <w:rPr>
          <w:sz w:val="24"/>
        </w:rPr>
        <w:t xml:space="preserve">Приложение N 3</w:t>
      </w:r>
    </w:p>
    <w:p>
      <w:pPr>
        <w:pStyle w:val="0"/>
        <w:jc w:val="right"/>
      </w:pPr>
      <w:r>
        <w:rPr>
          <w:sz w:val="24"/>
        </w:rPr>
        <w:t xml:space="preserve">к Административному регламенту</w:t>
      </w:r>
    </w:p>
    <w:p>
      <w:pPr>
        <w:pStyle w:val="0"/>
        <w:jc w:val="both"/>
      </w:pPr>
      <w:r>
        <w:rPr>
          <w:sz w:val="24"/>
        </w:rPr>
      </w:r>
    </w:p>
    <w:tbl>
      <w:tblPr>
        <w:tblInd w:w="0" w:type="dxa"/>
        <w:tblLayout w:type="fixed"/>
        <w:tblBorders>
          <w:top w:val="single" w:sz="4"/>
          <w:left w:val="single" w:sz="4"/>
          <w:bottom w:val="single" w:sz="4"/>
          <w:right w:val="single" w:sz="4"/>
        </w:tblBorders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669"/>
      </w:tblGrid>
      <w:tr>
        <w:tc>
          <w:tcPr>
            <w:tcW w:w="5669" w:type="dxa"/>
            <w:tcBorders>
              <w:top w:val="single" w:sz="4"/>
              <w:left w:val="single" w:sz="4"/>
              <w:bottom w:val="single" w:sz="4"/>
              <w:right w:val="single" w:sz="4"/>
            </w:tcBorders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Министерство труда и занятости населения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Вологодской области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160000, г. Вологда, ул. Зосимовская, 18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Тел./факс: (8172) 23-00-60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УВЕДОМИТЕЛЬНАЯ РЕГИСТРАЦИЯ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Соглашения проведена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"__"__________ 20__ г.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за N _______________</w:t>
            </w:r>
          </w:p>
        </w:tc>
      </w:tr>
    </w:tbl>
    <w:p>
      <w:pPr>
        <w:pStyle w:val="0"/>
        <w:jc w:val="both"/>
      </w:pPr>
      <w:r>
        <w:rPr>
          <w:sz w:val="24"/>
        </w:rPr>
      </w:r>
    </w:p>
    <w:tbl>
      <w:tblPr>
        <w:tblInd w:w="0" w:type="dxa"/>
        <w:tblLayout w:type="fixed"/>
        <w:tblBorders>
          <w:top w:val="single" w:sz="4"/>
          <w:left w:val="single" w:sz="4"/>
          <w:bottom w:val="single" w:sz="4"/>
          <w:right w:val="single" w:sz="4"/>
        </w:tblBorders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669"/>
      </w:tblGrid>
      <w:tr>
        <w:tc>
          <w:tcPr>
            <w:tcW w:w="5669" w:type="dxa"/>
            <w:tcBorders>
              <w:top w:val="single" w:sz="4"/>
              <w:left w:val="single" w:sz="4"/>
              <w:bottom w:val="single" w:sz="4"/>
              <w:right w:val="single" w:sz="4"/>
            </w:tcBorders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Министерство труда и занятости населения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Вологодской области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160000, г. Вологда, ул. Зосимовская, 18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Тел./факс: (8172) 23-00-60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УВЕДОМИТЕЛЬНАЯ РЕГИСТРАЦИЯ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изменений (дополнений) к Соглашению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N __________ за ____ год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проведена "__"__________ 20__ г.</w:t>
            </w:r>
          </w:p>
        </w:tc>
      </w:tr>
    </w:tbl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outlineLvl w:val="1"/>
        <w:jc w:val="right"/>
      </w:pPr>
      <w:r>
        <w:rPr>
          <w:sz w:val="24"/>
        </w:rPr>
        <w:t xml:space="preserve">Приложение N 4</w:t>
      </w:r>
    </w:p>
    <w:p>
      <w:pPr>
        <w:pStyle w:val="0"/>
        <w:jc w:val="right"/>
      </w:pPr>
      <w:r>
        <w:rPr>
          <w:sz w:val="24"/>
        </w:rPr>
        <w:t xml:space="preserve">к Административному регламенту</w:t>
      </w:r>
    </w:p>
    <w:p>
      <w:pPr>
        <w:pStyle w:val="0"/>
        <w:jc w:val="both"/>
      </w:pPr>
      <w:r>
        <w:rPr>
          <w:sz w:val="24"/>
        </w:rPr>
      </w:r>
    </w:p>
    <w:tbl>
      <w:tblPr>
        <w:tblInd w:w="0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2999"/>
        <w:gridCol w:w="2916"/>
        <w:gridCol w:w="3156"/>
      </w:tblGrid>
      <w:tr>
        <w:tc>
          <w:tcPr>
            <w:gridSpan w:val="3"/>
            <w:tcW w:w="907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right"/>
            </w:pPr>
            <w:r>
              <w:rPr>
                <w:sz w:val="24"/>
              </w:rPr>
              <w:t xml:space="preserve">Стороны социального партнерства,</w:t>
            </w:r>
          </w:p>
          <w:p>
            <w:pPr>
              <w:pStyle w:val="0"/>
              <w:jc w:val="right"/>
            </w:pPr>
            <w:r>
              <w:rPr>
                <w:sz w:val="24"/>
              </w:rPr>
              <w:t xml:space="preserve">заключившие Соглашение,</w:t>
            </w:r>
          </w:p>
          <w:p>
            <w:pPr>
              <w:pStyle w:val="0"/>
              <w:jc w:val="right"/>
            </w:pPr>
            <w:r>
              <w:rPr>
                <w:sz w:val="24"/>
              </w:rPr>
              <w:t xml:space="preserve">Ф.И.О., должность</w:t>
            </w:r>
          </w:p>
        </w:tc>
      </w:tr>
      <w:tr>
        <w:tc>
          <w:tcPr>
            <w:gridSpan w:val="3"/>
            <w:tcW w:w="907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3"/>
            <w:tcW w:w="9071" w:type="dxa"/>
            <w:tcBorders>
              <w:top w:val="nil"/>
              <w:left w:val="nil"/>
              <w:bottom w:val="nil"/>
              <w:right w:val="nil"/>
            </w:tcBorders>
          </w:tcPr>
          <w:bookmarkStart w:id="416" w:name="P416"/>
          <w:bookmarkEnd w:id="416"/>
          <w:p>
            <w:pPr>
              <w:pStyle w:val="0"/>
              <w:jc w:val="center"/>
            </w:pPr>
            <w:r>
              <w:rPr>
                <w:sz w:val="24"/>
              </w:rPr>
              <w:t xml:space="preserve">УВЕДОМЛЕНИЕ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о регистрации Соглашения</w:t>
            </w:r>
          </w:p>
        </w:tc>
      </w:tr>
      <w:tr>
        <w:tc>
          <w:tcPr>
            <w:gridSpan w:val="3"/>
            <w:tcW w:w="907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3"/>
            <w:tcW w:w="907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Министерством труда и занятости населения области __________ года за N _____ проведена уведомительная регистрация Соглашения (дополнительного соглашения к Соглашению)</w:t>
            </w:r>
          </w:p>
        </w:tc>
      </w:tr>
      <w:tr>
        <w:tc>
          <w:tcPr>
            <w:gridSpan w:val="3"/>
            <w:tcW w:w="9071" w:type="dxa"/>
            <w:tcBorders>
              <w:top w:val="nil"/>
              <w:left w:val="nil"/>
              <w:bottom w:val="single" w:sz="4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3"/>
            <w:tcW w:w="9071" w:type="dxa"/>
            <w:tcBorders>
              <w:top w:val="single" w:sz="4"/>
              <w:left w:val="nil"/>
              <w:bottom w:val="nil"/>
              <w:right w:val="nil"/>
            </w:tcBorders>
          </w:tcPr>
          <w:p>
            <w:pPr>
              <w:pStyle w:val="0"/>
              <w:jc w:val="both"/>
            </w:pPr>
            <w:r>
              <w:rPr>
                <w:sz w:val="24"/>
              </w:rPr>
              <w:t xml:space="preserve">_____________________________________________________ (далее - Соглашение).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По результатам правовой оценки Соглашения на предмет соответствия требованиям трудового законодательства и иным нормативным правовым актам, содержащим нормы трудового права, рекомендуем:</w:t>
            </w:r>
          </w:p>
        </w:tc>
      </w:tr>
      <w:tr>
        <w:tc>
          <w:tcPr>
            <w:gridSpan w:val="3"/>
            <w:tcW w:w="9071" w:type="dxa"/>
            <w:tcBorders>
              <w:top w:val="nil"/>
              <w:left w:val="nil"/>
              <w:bottom w:val="single" w:sz="4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blPrEx>
          <w:tblBorders>
            <w:insideH w:val="single" w:sz="4"/>
          </w:tblBorders>
        </w:tblPrEx>
        <w:tc>
          <w:tcPr>
            <w:gridSpan w:val="3"/>
            <w:tcW w:w="9071" w:type="dxa"/>
            <w:tcBorders>
              <w:top w:val="single" w:sz="4"/>
              <w:left w:val="nil"/>
              <w:bottom w:val="single" w:sz="4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blPrEx>
          <w:tblBorders>
            <w:insideH w:val="single" w:sz="4"/>
          </w:tblBorders>
        </w:tblPrEx>
        <w:tc>
          <w:tcPr>
            <w:gridSpan w:val="3"/>
            <w:tcW w:w="9071" w:type="dxa"/>
            <w:tcBorders>
              <w:top w:val="single" w:sz="4"/>
              <w:left w:val="nil"/>
              <w:bottom w:val="single" w:sz="4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3"/>
            <w:tcW w:w="9071" w:type="dxa"/>
            <w:tcBorders>
              <w:top w:val="single" w:sz="4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299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both"/>
            </w:pPr>
            <w:r>
              <w:rPr>
                <w:sz w:val="24"/>
              </w:rPr>
              <w:t xml:space="preserve">Должность</w:t>
            </w:r>
          </w:p>
        </w:tc>
        <w:tc>
          <w:tcPr>
            <w:tcW w:w="291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Подпись</w:t>
            </w:r>
          </w:p>
        </w:tc>
        <w:tc>
          <w:tcPr>
            <w:tcW w:w="315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Ф.И.О.</w:t>
            </w:r>
          </w:p>
        </w:tc>
      </w:tr>
    </w:tbl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outlineLvl w:val="1"/>
        <w:jc w:val="right"/>
      </w:pPr>
      <w:r>
        <w:rPr>
          <w:sz w:val="24"/>
        </w:rPr>
        <w:t xml:space="preserve">Приложение N 5</w:t>
      </w:r>
    </w:p>
    <w:p>
      <w:pPr>
        <w:pStyle w:val="0"/>
        <w:jc w:val="right"/>
      </w:pPr>
      <w:r>
        <w:rPr>
          <w:sz w:val="24"/>
        </w:rPr>
        <w:t xml:space="preserve">к Административному регламенту</w:t>
      </w:r>
    </w:p>
    <w:p>
      <w:pPr>
        <w:pStyle w:val="0"/>
        <w:jc w:val="both"/>
      </w:pPr>
      <w:r>
        <w:rPr>
          <w:sz w:val="24"/>
        </w:rPr>
      </w:r>
    </w:p>
    <w:tbl>
      <w:tblPr>
        <w:tblInd w:w="0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2999"/>
        <w:gridCol w:w="2916"/>
        <w:gridCol w:w="3156"/>
      </w:tblGrid>
      <w:tr>
        <w:tc>
          <w:tcPr>
            <w:gridSpan w:val="3"/>
            <w:tcW w:w="907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right"/>
            </w:pPr>
            <w:r>
              <w:rPr>
                <w:sz w:val="24"/>
              </w:rPr>
              <w:t xml:space="preserve">Стороны социального партнерства,</w:t>
            </w:r>
          </w:p>
          <w:p>
            <w:pPr>
              <w:pStyle w:val="0"/>
              <w:jc w:val="right"/>
            </w:pPr>
            <w:r>
              <w:rPr>
                <w:sz w:val="24"/>
              </w:rPr>
              <w:t xml:space="preserve">заключившие Соглашение,</w:t>
            </w:r>
          </w:p>
          <w:p>
            <w:pPr>
              <w:pStyle w:val="0"/>
              <w:jc w:val="right"/>
            </w:pPr>
            <w:r>
              <w:rPr>
                <w:sz w:val="24"/>
              </w:rPr>
              <w:t xml:space="preserve">Ф.И.О., должность</w:t>
            </w:r>
          </w:p>
        </w:tc>
      </w:tr>
      <w:tr>
        <w:tc>
          <w:tcPr>
            <w:gridSpan w:val="3"/>
            <w:tcW w:w="907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3"/>
            <w:tcW w:w="9071" w:type="dxa"/>
            <w:tcBorders>
              <w:top w:val="nil"/>
              <w:left w:val="nil"/>
              <w:bottom w:val="nil"/>
              <w:right w:val="nil"/>
            </w:tcBorders>
          </w:tcPr>
          <w:bookmarkStart w:id="442" w:name="P442"/>
          <w:bookmarkEnd w:id="442"/>
          <w:p>
            <w:pPr>
              <w:pStyle w:val="0"/>
              <w:jc w:val="center"/>
            </w:pPr>
            <w:r>
              <w:rPr>
                <w:sz w:val="24"/>
              </w:rPr>
              <w:t xml:space="preserve">УВЕДОМЛЕНИЕ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об отказе в регистрации Соглашения</w:t>
            </w:r>
          </w:p>
        </w:tc>
      </w:tr>
      <w:tr>
        <w:tc>
          <w:tcPr>
            <w:gridSpan w:val="3"/>
            <w:tcW w:w="907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3"/>
            <w:tcW w:w="907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На уведомительную регистрацию в Министерство труда и занятости населения области (далее - Министерство) __________ года поступили документы: ____________</w:t>
            </w:r>
          </w:p>
        </w:tc>
      </w:tr>
      <w:tr>
        <w:tc>
          <w:tcPr>
            <w:gridSpan w:val="3"/>
            <w:tcW w:w="9071" w:type="dxa"/>
            <w:tcBorders>
              <w:top w:val="nil"/>
              <w:left w:val="nil"/>
              <w:bottom w:val="single" w:sz="4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3"/>
            <w:tcW w:w="9071" w:type="dxa"/>
            <w:tcBorders>
              <w:top w:val="single" w:sz="4"/>
              <w:left w:val="nil"/>
              <w:bottom w:val="nil"/>
              <w:right w:val="nil"/>
            </w:tcBorders>
          </w:tcPr>
          <w:p>
            <w:pPr>
              <w:pStyle w:val="0"/>
              <w:jc w:val="both"/>
            </w:pPr>
            <w:r>
              <w:rPr>
                <w:sz w:val="24"/>
              </w:rPr>
              <w:t xml:space="preserve">________________________________________________________________________.</w:t>
            </w:r>
          </w:p>
        </w:tc>
      </w:tr>
      <w:tr>
        <w:tc>
          <w:tcPr>
            <w:gridSpan w:val="3"/>
            <w:tcW w:w="907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3"/>
            <w:tcW w:w="907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По результатам рассмотрения документов Министерством принято решение об отказе в регистрации Соглашения в связи со следующими основаниями:</w:t>
            </w:r>
          </w:p>
        </w:tc>
      </w:tr>
      <w:tr>
        <w:tc>
          <w:tcPr>
            <w:gridSpan w:val="3"/>
            <w:tcW w:w="9071" w:type="dxa"/>
            <w:tcBorders>
              <w:top w:val="nil"/>
              <w:left w:val="nil"/>
              <w:bottom w:val="single" w:sz="4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blPrEx>
          <w:tblBorders>
            <w:insideH w:val="single" w:sz="4"/>
          </w:tblBorders>
        </w:tblPrEx>
        <w:tc>
          <w:tcPr>
            <w:gridSpan w:val="3"/>
            <w:tcW w:w="9071" w:type="dxa"/>
            <w:tcBorders>
              <w:top w:val="single" w:sz="4"/>
              <w:left w:val="nil"/>
              <w:bottom w:val="single" w:sz="4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blPrEx>
          <w:tblBorders>
            <w:insideH w:val="single" w:sz="4"/>
          </w:tblBorders>
        </w:tblPrEx>
        <w:tc>
          <w:tcPr>
            <w:gridSpan w:val="3"/>
            <w:tcW w:w="9071" w:type="dxa"/>
            <w:tcBorders>
              <w:top w:val="single" w:sz="4"/>
              <w:left w:val="nil"/>
              <w:bottom w:val="single" w:sz="4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3"/>
            <w:tcW w:w="9071" w:type="dxa"/>
            <w:tcBorders>
              <w:top w:val="single" w:sz="4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299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both"/>
            </w:pPr>
            <w:r>
              <w:rPr>
                <w:sz w:val="24"/>
              </w:rPr>
              <w:t xml:space="preserve">Должность</w:t>
            </w:r>
          </w:p>
        </w:tc>
        <w:tc>
          <w:tcPr>
            <w:tcW w:w="291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Подпись</w:t>
            </w:r>
          </w:p>
        </w:tc>
        <w:tc>
          <w:tcPr>
            <w:tcW w:w="315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Ф.И.О.</w:t>
            </w:r>
          </w:p>
        </w:tc>
      </w:tr>
    </w:tbl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outlineLvl w:val="0"/>
        <w:jc w:val="right"/>
      </w:pPr>
      <w:r>
        <w:rPr>
          <w:sz w:val="24"/>
        </w:rPr>
        <w:t xml:space="preserve">Утвержден</w:t>
      </w:r>
    </w:p>
    <w:p>
      <w:pPr>
        <w:pStyle w:val="0"/>
        <w:jc w:val="right"/>
      </w:pPr>
      <w:r>
        <w:rPr>
          <w:sz w:val="24"/>
        </w:rPr>
        <w:t xml:space="preserve">Приказом</w:t>
      </w:r>
    </w:p>
    <w:p>
      <w:pPr>
        <w:pStyle w:val="0"/>
        <w:jc w:val="right"/>
      </w:pPr>
      <w:r>
        <w:rPr>
          <w:sz w:val="24"/>
        </w:rPr>
        <w:t xml:space="preserve">Департамента труда</w:t>
      </w:r>
    </w:p>
    <w:p>
      <w:pPr>
        <w:pStyle w:val="0"/>
        <w:jc w:val="right"/>
      </w:pPr>
      <w:r>
        <w:rPr>
          <w:sz w:val="24"/>
        </w:rPr>
        <w:t xml:space="preserve">и занятости населения области</w:t>
      </w:r>
    </w:p>
    <w:p>
      <w:pPr>
        <w:pStyle w:val="0"/>
        <w:jc w:val="right"/>
      </w:pPr>
      <w:r>
        <w:rPr>
          <w:sz w:val="24"/>
        </w:rPr>
        <w:t xml:space="preserve">от 26 июля 2012 г. N 357</w:t>
      </w:r>
    </w:p>
    <w:p>
      <w:pPr>
        <w:pStyle w:val="0"/>
        <w:jc w:val="right"/>
      </w:pPr>
      <w:r>
        <w:rPr>
          <w:sz w:val="24"/>
        </w:rPr>
        <w:t xml:space="preserve">(приложение 2)</w:t>
      </w:r>
    </w:p>
    <w:p>
      <w:pPr>
        <w:pStyle w:val="0"/>
        <w:jc w:val="both"/>
      </w:pPr>
      <w:r>
        <w:rPr>
          <w:sz w:val="24"/>
        </w:rPr>
      </w:r>
    </w:p>
    <w:bookmarkStart w:id="469" w:name="P469"/>
    <w:bookmarkEnd w:id="469"/>
    <w:p>
      <w:pPr>
        <w:pStyle w:val="2"/>
        <w:jc w:val="center"/>
      </w:pPr>
      <w:r>
        <w:rPr>
          <w:sz w:val="24"/>
        </w:rPr>
        <w:t xml:space="preserve">ПЕРЕЧЕНЬ</w:t>
      </w:r>
    </w:p>
    <w:p>
      <w:pPr>
        <w:pStyle w:val="2"/>
        <w:jc w:val="center"/>
      </w:pPr>
      <w:r>
        <w:rPr>
          <w:sz w:val="24"/>
        </w:rPr>
        <w:t xml:space="preserve">ДОЛЖНОСТНЫХ ЛИЦ ДЕПАРТАМЕНТА ТРУДА И ЗАНЯТОСТИ НАСЕЛЕНИЯ</w:t>
      </w:r>
    </w:p>
    <w:p>
      <w:pPr>
        <w:pStyle w:val="2"/>
        <w:jc w:val="center"/>
      </w:pPr>
      <w:r>
        <w:rPr>
          <w:sz w:val="24"/>
        </w:rPr>
        <w:t xml:space="preserve">ВОЛОГОДСКОЙ ОБЛАСТИ, ОТВЕТСТВЕННЫХ ЗА ПРЕДОСТАВЛЕНИЕ</w:t>
      </w:r>
    </w:p>
    <w:p>
      <w:pPr>
        <w:pStyle w:val="2"/>
        <w:jc w:val="center"/>
      </w:pPr>
      <w:r>
        <w:rPr>
          <w:sz w:val="24"/>
        </w:rPr>
        <w:t xml:space="preserve">ГОСУДАРСТВЕННОЙ УСЛУГИ ПО УВЕДОМИТЕЛЬНОЙ РЕГИСТРАЦИИ</w:t>
      </w:r>
    </w:p>
    <w:p>
      <w:pPr>
        <w:pStyle w:val="2"/>
        <w:jc w:val="center"/>
      </w:pPr>
      <w:r>
        <w:rPr>
          <w:sz w:val="24"/>
        </w:rPr>
        <w:t xml:space="preserve">РЕГИОНАЛЬНЫХ, ОТРАСЛЕВЫХ (РЕГИОНАЛЬНЫХ И ТЕРРИТОРИАЛЬНЫХ),</w:t>
      </w:r>
    </w:p>
    <w:p>
      <w:pPr>
        <w:pStyle w:val="2"/>
        <w:jc w:val="center"/>
      </w:pPr>
      <w:r>
        <w:rPr>
          <w:sz w:val="24"/>
        </w:rPr>
        <w:t xml:space="preserve">МЕЖОТРАСЛЕВЫХ (РЕГИОНАЛЬНЫХ И ТЕРРИТОРИАЛЬНЫХ),</w:t>
      </w:r>
    </w:p>
    <w:p>
      <w:pPr>
        <w:pStyle w:val="2"/>
        <w:jc w:val="center"/>
      </w:pPr>
      <w:r>
        <w:rPr>
          <w:sz w:val="24"/>
        </w:rPr>
        <w:t xml:space="preserve">ТЕРРИТОРИАЛЬНЫХ СОГЛАШЕНИЙ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Исключен. - </w:t>
      </w:r>
      <w:hyperlink w:history="0" r:id="rId30" w:tooltip="Приказ Департамента труда и занятости населения Вологодской области от 19.07.2017 N 317 &quot;О внесении изменения в приказ Департамента труда и занятости населения Вологодской области от 26 июля 2012 года N 357&quot; (вместе с &quot;Административным регламентом предоставления государственной услуги по уведомительной регистрации региональных, отраслевых (региональных и территориальных), межотраслевых (региональных и территориальных), территориальных соглашений&quot;) {КонсультантПлюс}">
        <w:r>
          <w:rPr>
            <w:sz w:val="24"/>
            <w:color w:val="0000ff"/>
          </w:rPr>
          <w:t xml:space="preserve">Приказ</w:t>
        </w:r>
      </w:hyperlink>
      <w:r>
        <w:rPr>
          <w:sz w:val="24"/>
        </w:rPr>
        <w:t xml:space="preserve"> Департамента труда и занятости населения Вологодской области от 19.07.2017 N 317.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  <w:pBdr>
          <w:bottom w:val="single" w:sz="6" w:space="0" w:color="auto"/>
        </w:pBdr>
        <w:spacing w:before="100" w:after="100"/>
        <w:rPr>
          <w:sz w:val="2"/>
          <w:szCs w:val="2"/>
        </w:rPr>
      </w:pPr>
    </w:p>
    <w:sectPr>
      <w:headerReference w:type="default" r:id="rId5"/>
      <w:headerReference w:type="first" r:id="rId5"/>
      <w:footerReference w:type="default" r:id="rId6"/>
      <w:footerReference w:type="first" r:id="rId6"/>
      <w:pgSz w:w="11906" w:h="16838"/>
      <w:pgMar w:top="1440" w:right="566" w:bottom="1440" w:left="1133" w:header="0" w:footer="0" w:gutter="0"/>
      <w:titlePg/>
    </w:sectPr>
  </w:body>
</w:document>
</file>

<file path=word/footer1.xml><?xml version="1.0" encoding="utf-8"?>
<w:ft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p>
    <w:pPr>
      <w:pBdr>
        <w:bottom w:val="single" w:sz="12" w:space="0" w:color="auto"/>
      </w:pBdr>
      <w:rPr>
        <w:sz w:val="2"/>
        <w:szCs w:val="2"/>
      </w:rPr>
    </w:pPr>
  </w:p>
  <w:tbl>
    <w:tblPr>
      <w:tblW w:w="5000" w:type="pct"/>
      <w:tblInd w:w="0" w:type="dxa"/>
      <w:tblCellMar>
        <w:left w:w="40" w:type="dxa"/>
        <w:right w:w="40" w:type="dxa"/>
      </w:tblCellMar>
      <w:tblLook w:firstRow="0" w:lastRow="0" w:firstColumn="0" w:lastColumn="0" w:noHBand="0" w:noVBand="0"/>
    </w:tblPr>
    <w:tblGrid>
      <w:gridCol w:w="1"/>
      <w:gridCol w:w="1"/>
      <w:gridCol w:w="1"/>
    </w:tblGrid>
    <w:tr>
      <w:trPr>
        <w:trHeight w:hRule="exact" w:val="1663"/>
      </w:trPr>
      <w:tc>
        <w:tcPr>
          <w:tcW w:w="1650" w:type="pct"/>
          <w:vAlign w:val="center"/>
        </w:tcPr>
        <w:p>
          <w:r>
            <w:rPr>
              <w:rFonts w:ascii="Tahoma" w:hAnsi="Tahoma" w:cs="Tahoma"/>
              <w:b/>
              <w:color w:val="f58220"/>
              <w:sz w:val="28"/>
              <w:szCs w:val="28"/>
              <w:noProof/>
            </w:rPr>
            <w:t>КонсультантПлюс</w:t>
          </w:r>
          <w:r>
            <w:rPr>
              <w:rFonts w:ascii="Tahoma" w:hAnsi="Tahoma" w:cs="Tahoma"/>
              <w:b/>
              <w:sz w:val="16"/>
              <w:szCs w:val="16"/>
              <w:noProof/>
            </w:rPr>
            <w:br/>
            <w:t>надежная правовая поддержка</w:t>
          </w:r>
        </w:p>
      </w:tc>
      <w:tc>
        <w:tcPr>
          <w:tcW w:w="1700" w:type="pct"/>
          <w:vAlign w:val="center"/>
        </w:tcPr>
        <w:p>
          <w:pPr>
            <w:jc w:val="center"/>
          </w:pPr>
          <w:hyperlink r:id="rId1" w:history="0">
            <w:r>
              <w:rPr>
                <w:rFonts w:ascii="Tahoma" w:hAnsi="Tahoma" w:cs="Tahoma"/>
                <w:b/>
                <w:color w:val="0000FF"/>
              </w:rPr>
              <w:t>www.consultant.ru</w:t>
            </w:r>
          </w:hyperlink>
        </w:p>
      </w:tc>
      <w:tc>
        <w:tcPr>
          <w:tcW w:w="1650" w:type="pct"/>
          <w:vAlign w:val="center"/>
        </w:tcPr>
        <w:p>
          <w:pPr>
            <w:jc w:val="end"/>
          </w:pPr>
          <w:r>
            <w:rPr>
              <w:rFonts w:ascii="Tahoma" w:hAnsi="Tahoma" w:cs="Tahoma"/>
            </w:rPr>
            <w:t xml:space="preserve">Страница </w:t>
          </w:r>
          <w:r>
            <w:fldChar w:fldCharType="begin"/>
          </w:r>
          <w:r>
            <w:rPr>
              <w:rFonts w:ascii="Tahoma" w:hAnsi="Tahoma" w:cs="Tahoma"/>
            </w:rPr>
            <w:instrText>PAGE</w:instrText>
          </w:r>
          <w:r>
            <w:fldChar w:fldCharType="separate"/>
          </w:r>
          <w:r>
            <w:rPr>
              <w:rFonts w:ascii="Tahoma" w:hAnsi="Tahoma" w:cs="Tahoma"/>
              <w:noProof/>
            </w:rPr>
            <w:t>5</w:t>
          </w:r>
          <w:r>
            <w:fldChar w:fldCharType="end"/>
          </w:r>
          <w:r>
            <w:rPr>
              <w:rFonts w:ascii="Tahoma" w:hAnsi="Tahoma" w:cs="Tahoma"/>
            </w:rPr>
            <w:t xml:space="preserve"> из </w:t>
          </w:r>
          <w:r>
            <w:fldChar w:fldCharType="begin"/>
          </w:r>
          <w:r>
            <w:rPr>
              <w:rFonts w:ascii="Tahoma" w:hAnsi="Tahoma" w:cs="Tahoma"/>
            </w:rPr>
            <w:instrText>NUMPAGES</w:instrText>
          </w:r>
          <w:r>
            <w:fldChar w:fldCharType="separate"/>
          </w:r>
          <w:r>
            <w:rPr>
              <w:rFonts w:ascii="Tahoma" w:hAnsi="Tahoma" w:cs="Tahoma"/>
              <w:noProof/>
            </w:rPr>
            <w:t>5</w:t>
          </w:r>
          <w:r>
            <w:fldChar w:fldCharType="end"/>
          </w:r>
        </w:p>
      </w:tc>
    </w:tr>
  </w:tbl>
  <w:p>
    <w:r>
      <w:rPr>
        <w:sz w:val="2"/>
        <w:szCs w:val="2"/>
      </w:rPr>
      <w:t>1</w:t>
    </w:r>
  </w:p>
</w:ftr>
</file>

<file path=word/header1.xml><?xml version="1.0" encoding="utf-8"?>
<w:hd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tbl>
    <w:tblPr>
      <w:tblW w:w="5000" w:type="pct"/>
      <w:tblInd w:w="0" w:type="dxa"/>
      <w:tblLayout w:type="fixed"/>
      <w:tblCellMar>
        <w:left w:w="40" w:type="dxa"/>
        <w:right w:w="40" w:type="dxa"/>
      </w:tblCellMar>
    </w:tblPr>
    <w:tblGrid>
      <w:gridCol w:w="1"/>
      <w:gridCol w:w="1"/>
    </w:tblGrid>
    <w:tr>
      <w:trPr>
        <w:trHeight w:hRule="exact" w:val="1683"/>
      </w:trPr>
      <w:tc>
        <w:tcPr>
          <w:tcW w:w="2700" w:type="pct"/>
          <w:vAlign w:val="center"/>
        </w:tcPr>
        <w:p>
          <w:pPr>
            <w:rPr>
              <w:rFonts w:ascii="Tahoma" w:hAnsi="Tahoma" w:cs="Tahoma"/>
            </w:rPr>
          </w:pPr>
          <w:r>
            <w:rPr>
              <w:rFonts w:ascii="Tahoma" w:hAnsi="Tahoma" w:cs="Tahoma"/>
              <w:sz w:val="16"/>
              <w:szCs w:val="16"/>
            </w:rPr>
            <w:t>Приказ Департамента труда и занятости населения Вологодской области от 26.07.2012 N 357</w:t>
            <w:br/>
            <w:t>(ред. от 18.06.2025)</w:t>
            <w:br/>
            <w:t>"Об утвержд...</w:t>
          </w:r>
        </w:p>
      </w:tc>
      <w:tc>
        <w:tcPr>
          <w:tcW w:w="2300" w:type="pct"/>
          <w:vAlign w:val="center"/>
        </w:tcPr>
        <w:p>
          <w:pPr>
            <w:jc w:val="end"/>
            <w:rPr>
              <w:rFonts w:ascii="Tahoma" w:hAnsi="Tahoma" w:cs="Tahoma"/>
            </w:rPr>
          </w:pPr>
          <w:r>
            <w:rPr>
              <w:rFonts w:ascii="Tahoma" w:hAnsi="Tahoma" w:cs="Tahoma"/>
              <w:sz w:val="18"/>
              <w:szCs w:val="18"/>
              <w:noProof/>
            </w:rPr>
            <w:t xml:space="preserve">Документ предоставлен </w:t>
          </w:r>
          <w:hyperlink r:id="rId1" w:history="0" w:tooltip="КонсультантПлюс - надежная правовая система">
            <w:r>
              <w:rPr>
                <w:rFonts w:ascii="Tahoma" w:hAnsi="Tahoma" w:cs="Tahoma"/>
                <w:color w:val="0000FF"/>
                <w:sz w:val="18"/>
                <w:szCs w:val="18"/>
                <w:noProof/>
              </w:rPr>
              <w:t>КонсультантПлюс</w:t>
            </w:r>
          </w:hyperlink>
          <w:r>
            <w:rPr>
              <w:rFonts w:ascii="Tahoma" w:hAnsi="Tahoma" w:cs="Tahoma"/>
              <w:sz w:val="18"/>
              <w:szCs w:val="18"/>
            </w:rPr>
            <w:br/>
          </w:r>
          <w:r>
            <w:rPr>
              <w:rFonts w:ascii="Tahoma" w:hAnsi="Tahoma" w:cs="Tahoma"/>
              <w:sz w:val="16"/>
              <w:szCs w:val="16"/>
            </w:rPr>
            <w:t>Дата сохранения: 04.07.2025</w:t>
          </w:r>
        </w:p>
      </w:tc>
    </w:tr>
  </w:tbl>
  <w:p>
    <w:pPr>
      <w:pBdr>
        <w:bottom w:val="single" w:sz="12" w:space="0" w:color="auto"/>
      </w:pBdr>
      <w:rPr>
        <w:sz w:val="2"/>
        <w:szCs w:val="2"/>
      </w:rPr>
    </w:pPr>
  </w:p>
  <w:p/>
</w:hdr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pPrDefault>
      <w:pPr>
        <w:spacing w:before="0" w:after="0" w:line="240" w:lineRule="auto"/>
      </w:pPr>
    </w:pPrDefault>
  </w:docDefaults>
  <w:style w:type="paragraph" w:default="1" w:customStyle="1" w:styleId="0">
    <w:name w:val="ConsPlusNormal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  <w:style w:type="paragraph" w:customStyle="1" w:styleId="1">
    <w:name w:val="ConsPlusNonformat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2">
    <w:name w:val="ConsPlusTitle"/>
    <w:pPr>
      <w:widowControl w:val="0"/>
      <w:autoSpaceDE w:val="0"/>
      <w:autoSpaceDN w:val="0"/>
    </w:pPr>
    <w:rPr>
      <w:rFonts w:ascii="Arial" w:hAnsi="Arial" w:cs="Arial"/>
      <w:sz w:val="24"/>
      <w:b/>
    </w:rPr>
  </w:style>
  <w:style w:type="paragraph" w:customStyle="1" w:styleId="3">
    <w:name w:val="ConsPlusCell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4">
    <w:name w:val="ConsPlusDocList"/>
    <w:pPr>
      <w:widowControl w:val="0"/>
      <w:autoSpaceDE w:val="0"/>
      <w:autoSpaceDN w:val="0"/>
    </w:pPr>
    <w:rPr>
      <w:rFonts w:ascii="Tahoma" w:hAnsi="Tahoma" w:cs="Tahoma"/>
      <w:sz w:val="18"/>
    </w:rPr>
  </w:style>
  <w:style w:type="paragraph" w:customStyle="1" w:styleId="5">
    <w:name w:val="ConsPlusTitlePage"/>
    <w:pPr>
      <w:widowControl w:val="0"/>
      <w:autoSpaceDE w:val="0"/>
      <w:autoSpaceDN w:val="0"/>
    </w:pPr>
    <w:rPr>
      <w:rFonts w:ascii="Tahoma" w:hAnsi="Tahoma" w:cs="Tahoma"/>
      <w:sz w:val="20"/>
    </w:rPr>
  </w:style>
  <w:style w:type="paragraph" w:customStyle="1" w:styleId="6">
    <w:name w:val="ConsPlusJurTerm"/>
    <w:pPr>
      <w:widowControl w:val="0"/>
      <w:autoSpaceDE w:val="0"/>
      <w:autoSpaceDN w:val="0"/>
    </w:pPr>
    <w:rPr>
      <w:rFonts w:ascii="Tahoma" w:hAnsi="Tahoma" w:cs="Tahoma"/>
      <w:sz w:val="26"/>
    </w:rPr>
  </w:style>
  <w:style w:type="paragraph" w:customStyle="1" w:styleId="7">
    <w:name w:val="ConsPlusTextList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  <w:style w:type="paragraph" w:customStyle="1" w:styleId="8">
    <w:name w:val="ConsPlusTextList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  <w:style w:type="paragraph" w:default="1" w:customStyle="1" w:styleId="0">
    <w:name w:val="ConsPlusNormal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  <w:style w:type="paragraph" w:customStyle="1" w:styleId="1">
    <w:name w:val="ConsPlusNonformat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2">
    <w:name w:val="ConsPlusTitle"/>
    <w:pPr>
      <w:widowControl w:val="0"/>
      <w:autoSpaceDE w:val="0"/>
      <w:autoSpaceDN w:val="0"/>
    </w:pPr>
    <w:rPr>
      <w:rFonts w:ascii="Arial" w:hAnsi="Arial" w:cs="Arial"/>
      <w:sz w:val="24"/>
      <w:b/>
    </w:rPr>
  </w:style>
  <w:style w:type="paragraph" w:customStyle="1" w:styleId="3">
    <w:name w:val="ConsPlusCell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4">
    <w:name w:val="ConsPlusDocList"/>
    <w:pPr>
      <w:widowControl w:val="0"/>
      <w:autoSpaceDE w:val="0"/>
      <w:autoSpaceDN w:val="0"/>
    </w:pPr>
    <w:rPr>
      <w:rFonts w:ascii="Tahoma" w:hAnsi="Tahoma" w:cs="Tahoma"/>
      <w:sz w:val="18"/>
    </w:rPr>
  </w:style>
  <w:style w:type="paragraph" w:customStyle="1" w:styleId="5">
    <w:name w:val="ConsPlusTitlePage"/>
    <w:pPr>
      <w:widowControl w:val="0"/>
      <w:autoSpaceDE w:val="0"/>
      <w:autoSpaceDN w:val="0"/>
    </w:pPr>
    <w:rPr>
      <w:rFonts w:ascii="Tahoma" w:hAnsi="Tahoma" w:cs="Tahoma"/>
      <w:sz w:val="20"/>
    </w:rPr>
  </w:style>
  <w:style w:type="paragraph" w:customStyle="1" w:styleId="6">
    <w:name w:val="ConsPlusJurTerm"/>
    <w:pPr>
      <w:widowControl w:val="0"/>
      <w:autoSpaceDE w:val="0"/>
      <w:autoSpaceDN w:val="0"/>
    </w:pPr>
    <w:rPr>
      <w:rFonts w:ascii="Tahoma" w:hAnsi="Tahoma" w:cs="Tahoma"/>
      <w:sz w:val="26"/>
    </w:rPr>
  </w:style>
  <w:style w:type="paragraph" w:customStyle="1" w:styleId="7">
    <w:name w:val="ConsPlusTextList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  <w:style w:type="paragraph" w:customStyle="1" w:styleId="8">
    <w:name w:val="ConsPlusTextList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</w:styles>
</file>

<file path=word/_rels/document.xml.rels>&#65279;<?xml version="1.0" encoding="UTF-8" standalone="yes"?>
<Relationships xmlns="http://schemas.openxmlformats.org/package/2006/relationships">
	<Relationship Id="rId1" Type="http://schemas.openxmlformats.org/officeDocument/2006/relationships/styles" Target="styles.xml"/>
	<Relationship Id="rId2" Type="http://schemas.openxmlformats.org/officeDocument/2006/relationships/image" Target="media/image1.png"/>
	<Relationship Id="rId3" Type="http://schemas.openxmlformats.org/officeDocument/2006/relationships/hyperlink" Target="https://www.consultant.ru" TargetMode = "External"/>
	<Relationship Id="rId4" Type="http://schemas.openxmlformats.org/officeDocument/2006/relationships/hyperlink" Target="https://www.consultant.ru" TargetMode = "External"/>
	<Relationship Id="rId5" Type="http://schemas.openxmlformats.org/officeDocument/2006/relationships/header" Target="header1.xml"/>
	<Relationship Id="rId6" Type="http://schemas.openxmlformats.org/officeDocument/2006/relationships/footer" Target="footer1.xml"/>
	<Relationship Id="rId7" Type="http://schemas.openxmlformats.org/officeDocument/2006/relationships/hyperlink" Target="https://login.consultant.ru/link/?req=doc&amp;base=RLAW095&amp;n=89771&amp;date=04.07.2025&amp;dst=100005&amp;field=134" TargetMode = "External"/>
	<Relationship Id="rId8" Type="http://schemas.openxmlformats.org/officeDocument/2006/relationships/hyperlink" Target="https://login.consultant.ru/link/?req=doc&amp;base=RLAW095&amp;n=109706&amp;date=04.07.2025&amp;dst=100006&amp;field=134" TargetMode = "External"/>
	<Relationship Id="rId9" Type="http://schemas.openxmlformats.org/officeDocument/2006/relationships/hyperlink" Target="https://login.consultant.ru/link/?req=doc&amp;base=RLAW095&amp;n=124071&amp;date=04.07.2025&amp;dst=100005&amp;field=134" TargetMode = "External"/>
	<Relationship Id="rId10" Type="http://schemas.openxmlformats.org/officeDocument/2006/relationships/hyperlink" Target="https://login.consultant.ru/link/?req=doc&amp;base=RLAW095&amp;n=127846&amp;date=04.07.2025&amp;dst=100005&amp;field=134" TargetMode = "External"/>
	<Relationship Id="rId11" Type="http://schemas.openxmlformats.org/officeDocument/2006/relationships/hyperlink" Target="https://login.consultant.ru/link/?req=doc&amp;base=RLAW095&amp;n=143501&amp;date=04.07.2025&amp;dst=100005&amp;field=134" TargetMode = "External"/>
	<Relationship Id="rId12" Type="http://schemas.openxmlformats.org/officeDocument/2006/relationships/hyperlink" Target="https://login.consultant.ru/link/?req=doc&amp;base=RLAW095&amp;n=199016&amp;date=04.07.2025&amp;dst=100069&amp;field=134" TargetMode = "External"/>
	<Relationship Id="rId13" Type="http://schemas.openxmlformats.org/officeDocument/2006/relationships/hyperlink" Target="https://login.consultant.ru/link/?req=doc&amp;base=RLAW095&amp;n=149669&amp;date=04.07.2025&amp;dst=100005&amp;field=134" TargetMode = "External"/>
	<Relationship Id="rId14" Type="http://schemas.openxmlformats.org/officeDocument/2006/relationships/hyperlink" Target="https://login.consultant.ru/link/?req=doc&amp;base=RLAW095&amp;n=199041&amp;date=04.07.2025&amp;dst=100020&amp;field=134" TargetMode = "External"/>
	<Relationship Id="rId15" Type="http://schemas.openxmlformats.org/officeDocument/2006/relationships/hyperlink" Target="https://login.consultant.ru/link/?req=doc&amp;base=RLAW095&amp;n=199040&amp;date=04.07.2025&amp;dst=100030&amp;field=134" TargetMode = "External"/>
	<Relationship Id="rId16" Type="http://schemas.openxmlformats.org/officeDocument/2006/relationships/hyperlink" Target="https://login.consultant.ru/link/?req=doc&amp;base=RLAW095&amp;n=173329&amp;date=04.07.2025&amp;dst=100005&amp;field=134" TargetMode = "External"/>
	<Relationship Id="rId17" Type="http://schemas.openxmlformats.org/officeDocument/2006/relationships/hyperlink" Target="https://login.consultant.ru/link/?req=doc&amp;base=RLAW095&amp;n=196198&amp;date=04.07.2025&amp;dst=100005&amp;field=134" TargetMode = "External"/>
	<Relationship Id="rId18" Type="http://schemas.openxmlformats.org/officeDocument/2006/relationships/hyperlink" Target="https://login.consultant.ru/link/?req=doc&amp;base=RLAW095&amp;n=252186&amp;date=04.07.2025&amp;dst=100005&amp;field=134" TargetMode = "External"/>
	<Relationship Id="rId19" Type="http://schemas.openxmlformats.org/officeDocument/2006/relationships/hyperlink" Target="https://login.consultant.ru/link/?req=doc&amp;base=RLAW095&amp;n=239143&amp;date=04.07.2025&amp;dst=100173&amp;field=134" TargetMode = "External"/>
	<Relationship Id="rId20" Type="http://schemas.openxmlformats.org/officeDocument/2006/relationships/hyperlink" Target="https://login.consultant.ru/link/?req=doc&amp;base=RLAW095&amp;n=199016&amp;date=04.07.2025&amp;dst=100070&amp;field=134" TargetMode = "External"/>
	<Relationship Id="rId21" Type="http://schemas.openxmlformats.org/officeDocument/2006/relationships/hyperlink" Target="https://login.consultant.ru/link/?req=doc&amp;base=RLAW095&amp;n=143501&amp;date=04.07.2025&amp;dst=100007&amp;field=134" TargetMode = "External"/>
	<Relationship Id="rId22" Type="http://schemas.openxmlformats.org/officeDocument/2006/relationships/hyperlink" Target="https://login.consultant.ru/link/?req=doc&amp;base=RLAW095&amp;n=252186&amp;date=04.07.2025&amp;dst=100005&amp;field=134" TargetMode = "External"/>
	<Relationship Id="rId23" Type="http://schemas.openxmlformats.org/officeDocument/2006/relationships/hyperlink" Target="https://login.consultant.ru/link/?req=doc&amp;base=LAW&amp;n=494998&amp;date=04.07.2025" TargetMode = "External"/>
	<Relationship Id="rId24" Type="http://schemas.openxmlformats.org/officeDocument/2006/relationships/hyperlink" Target="https://login.consultant.ru/link/?req=doc&amp;base=LAW&amp;n=494996&amp;date=04.07.2025&amp;dst=1&amp;field=134" TargetMode = "External"/>
	<Relationship Id="rId25" Type="http://schemas.openxmlformats.org/officeDocument/2006/relationships/hyperlink" Target="https://login.consultant.ru/link/?req=doc&amp;base=LAW&amp;n=494996&amp;date=04.07.2025&amp;dst=4&amp;field=134" TargetMode = "External"/>
	<Relationship Id="rId26" Type="http://schemas.openxmlformats.org/officeDocument/2006/relationships/hyperlink" Target="https://login.consultant.ru/link/?req=doc&amp;base=LAW&amp;n=494998&amp;date=04.07.2025" TargetMode = "External"/>
	<Relationship Id="rId27" Type="http://schemas.openxmlformats.org/officeDocument/2006/relationships/hyperlink" Target="https://login.consultant.ru/link/?req=doc&amp;base=LAW&amp;n=479112&amp;date=04.07.2025" TargetMode = "External"/>
	<Relationship Id="rId28" Type="http://schemas.openxmlformats.org/officeDocument/2006/relationships/hyperlink" Target="https://login.consultant.ru/link/?req=doc&amp;base=LAW&amp;n=183496&amp;date=04.07.2025&amp;dst=100012&amp;field=134" TargetMode = "External"/>
	<Relationship Id="rId29" Type="http://schemas.openxmlformats.org/officeDocument/2006/relationships/hyperlink" Target="https://login.consultant.ru/link/?req=doc&amp;base=LAW&amp;n=183496&amp;date=04.07.2025&amp;dst=100038&amp;field=134" TargetMode = "External"/>
	<Relationship Id="rId30" Type="http://schemas.openxmlformats.org/officeDocument/2006/relationships/hyperlink" Target="https://login.consultant.ru/link/?req=doc&amp;base=RLAW095&amp;n=143501&amp;date=04.07.2025&amp;dst=100007&amp;field=134" TargetMode = "External"/>
</Relationships>
</file>

<file path=word/_rels/footer1.xml.rels>&#65279;<?xml version="1.0" encoding="UTF-8" standalone="yes"?>
<Relationships xmlns="http://schemas.openxmlformats.org/package/2006/relationships">
	<Relationship Id="rId1" Type="http://schemas.openxmlformats.org/officeDocument/2006/relationships/hyperlink" Target="https://www.consultant.ru" TargetMode = "External"/>
</Relationships>
</file>

<file path=word/_rels/header1.xml.rels>&#65279;<?xml version="1.0" encoding="UTF-8" standalone="yes"?>
<Relationships xmlns="http://schemas.openxmlformats.org/package/2006/relationships">
	<Relationship Id="rId1" Type="http://schemas.openxmlformats.org/officeDocument/2006/relationships/hyperlink" Target="https://www.consultant.ru" TargetMode = "External"/>
</Relationships>
</file>

<file path=docProps/app.xml><?xml version="1.0" encoding="utf-8"?>
<Properties xmlns="http://schemas.openxmlformats.org/officeDocument/2006/extended-properties" xmlns:vt="http://schemas.openxmlformats.org/officeDocument/2006/docPropsVTypes">
  <Application>КонсультантПлюс Версия 4024.00.50</Application>
  <Company>КонсультантПлюс Версия 4024.00.50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Приказ Департамента труда и занятости населения Вологодской области от 26.07.2012 N 357
(ред. от 18.06.2025)
"Об утверждении административного регламента"
(вместе с "Административным регламентом предоставления государственной услуги по уведомительной регистрации региональных, отраслевых (региональных и территориальных), межотраслевых (региональных и территориальных), территориальных соглашений")</dc:title>
  <dcterms:created xsi:type="dcterms:W3CDTF">2025-07-04T16:04:08Z</dcterms:created>
</cp:coreProperties>
</file>