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ind w:left="0" w:right="0" w:firstLine="0"/>
        <w:jc w:val="center"/>
        <w:keepNext/>
        <w:rPr>
          <w:sz w:val="28"/>
          <w:szCs w:val="28"/>
        </w:rPr>
        <w:outlineLvl w:val="5"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</w:r>
    </w:p>
    <w:p>
      <w:pPr>
        <w:ind w:firstLine="709"/>
        <w:jc w:val="center"/>
        <w:keepNext/>
        <w:rPr>
          <w:sz w:val="28"/>
          <w:szCs w:val="28"/>
        </w:rPr>
        <w:outlineLvl w:val="5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center"/>
        <w:keepNext/>
        <w:rPr>
          <w:sz w:val="28"/>
          <w:szCs w:val="28"/>
        </w:rPr>
        <w:outlineLvl w:val="5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left="0" w:right="0" w:firstLine="0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  <w:t xml:space="preserve">АДМИНИСТРАЦИЯ ВЫТЕГОРСКОГО МУНИЦИПАЛЬНОГО ОКРУГА</w:t>
      </w:r>
      <w:r>
        <w:rPr>
          <w:sz w:val="28"/>
          <w:szCs w:val="28"/>
        </w:rPr>
      </w:r>
    </w:p>
    <w:p>
      <w:pPr>
        <w:ind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  <w:t xml:space="preserve">ПОСТАНОВЛЕНИЕ</w:t>
      </w:r>
      <w:r>
        <w:rPr>
          <w:sz w:val="28"/>
          <w:szCs w:val="28"/>
        </w:rPr>
      </w:r>
    </w:p>
    <w:p>
      <w:pPr>
        <w:ind w:firstLine="709"/>
        <w:jc w:val="center"/>
        <w:keepNext/>
        <w:rPr>
          <w:sz w:val="28"/>
          <w:szCs w:val="28"/>
        </w:rPr>
        <w:outlineLvl w:val="2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0"/>
        <w:jc w:val="both"/>
        <w:rPr>
          <w:sz w:val="28"/>
          <w:szCs w:val="28"/>
        </w:rPr>
      </w:pP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</w:p>
    <w:p>
      <w:pPr>
        <w:ind w:firstLine="0"/>
        <w:jc w:val="both"/>
        <w:rPr>
          <w:sz w:val="28"/>
          <w:szCs w:val="28"/>
          <w:highlight w:val="none"/>
        </w:rPr>
      </w:pPr>
      <w:r>
        <w:rPr>
          <w:sz w:val="28"/>
          <w:szCs w:val="28"/>
        </w:rPr>
        <w:t xml:space="preserve">от 03.03.2026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№ 392</w:t>
      </w:r>
      <w:r>
        <w:rPr>
          <w:sz w:val="28"/>
          <w:szCs w:val="28"/>
          <w:highlight w:val="none"/>
        </w:rPr>
      </w:r>
    </w:p>
    <w:p>
      <w:pPr>
        <w:ind w:firstLine="0"/>
        <w:jc w:val="both"/>
        <w:rPr>
          <w:sz w:val="20"/>
          <w:szCs w:val="20"/>
          <w:highlight w:val="none"/>
        </w:rPr>
      </w:pPr>
      <w:r>
        <w:rPr>
          <w:sz w:val="20"/>
          <w:szCs w:val="20"/>
          <w:highlight w:val="none"/>
        </w:rPr>
        <w:t xml:space="preserve">                                          г. Вытегра</w:t>
      </w:r>
      <w:r>
        <w:rPr>
          <w:sz w:val="20"/>
          <w:szCs w:val="20"/>
          <w:highlight w:val="none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rFonts w:cs="Arial"/>
          <w:sz w:val="28"/>
          <w:szCs w:val="28"/>
        </w:rPr>
        <w:t xml:space="preserve">Об утверждении </w:t>
      </w:r>
      <w:r>
        <w:rPr>
          <w:sz w:val="28"/>
          <w:szCs w:val="28"/>
        </w:rPr>
        <w:t xml:space="preserve">административного 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регламента предоставления муниципальной 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услуги по переводу жилого помещения в 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нежилое помещение и нежилого 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помещения в жилое помещение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b/>
          <w:bCs/>
          <w:sz w:val="28"/>
          <w:szCs w:val="28"/>
          <w:highlight w:val="white"/>
        </w:rPr>
      </w:pPr>
      <w:r>
        <w:rPr>
          <w:bCs/>
          <w:sz w:val="28"/>
          <w:szCs w:val="28"/>
          <w:highlight w:val="white"/>
        </w:rPr>
        <w:t xml:space="preserve">В соответствии с Федеральным законом от 27 июля 2010 года № 210-ФЗ «Об организации предоставления государственных и муниципальных услуг», постановлением Администрации Вытегорского муниципального района от 28 июля 2010 года № 467 «О пор</w:t>
      </w:r>
      <w:r>
        <w:rPr>
          <w:bCs/>
          <w:sz w:val="28"/>
          <w:szCs w:val="28"/>
          <w:highlight w:val="white"/>
        </w:rPr>
        <w:t xml:space="preserve">ядках разработки и утверждения административных регламентов исполнения муниципальных функций, административных регламентов предоставления муниципальных услуг органами местного самоуправления Вытегорского муниципального района» (с последующими изменениями) </w:t>
      </w:r>
      <w:r>
        <w:rPr>
          <w:b/>
          <w:bCs/>
          <w:sz w:val="28"/>
          <w:szCs w:val="28"/>
          <w:highlight w:val="white"/>
        </w:rPr>
        <w:t xml:space="preserve">ПОСТАНОВЛЯЮ:</w:t>
      </w:r>
      <w:r>
        <w:rPr>
          <w:b/>
          <w:bCs/>
          <w:sz w:val="28"/>
          <w:szCs w:val="28"/>
          <w:highlight w:val="white"/>
        </w:rPr>
      </w:r>
    </w:p>
    <w:p>
      <w:pPr>
        <w:ind w:firstLine="709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  <w:r>
        <w:rPr>
          <w:b/>
          <w:bCs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rFonts w:cs="Arial"/>
          <w:sz w:val="28"/>
          <w:szCs w:val="28"/>
        </w:rPr>
        <w:t xml:space="preserve">1. Утвердить </w:t>
      </w:r>
      <w:r>
        <w:rPr>
          <w:sz w:val="28"/>
          <w:szCs w:val="28"/>
        </w:rPr>
        <w:t xml:space="preserve">административный регламент предоставления муниципальной услуги по переводу жилого помещения в нежилое помещение и нежилого помещения в жилое помещение.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При</w:t>
      </w:r>
      <w:r>
        <w:rPr>
          <w:sz w:val="28"/>
          <w:szCs w:val="28"/>
        </w:rPr>
        <w:t xml:space="preserve">знать утратившим силу постановление Администрации Вытегорского муниципального района от 17.06.2022 года № 663 «Об утверждении административного регламента предоставления муниципальной услуги по переводу жилого помещения в нежилое помещение и нежилого помещ</w:t>
      </w:r>
      <w:r>
        <w:rPr>
          <w:sz w:val="28"/>
          <w:szCs w:val="28"/>
        </w:rPr>
        <w:t xml:space="preserve">ения в жилое помещение» и постановление Администрации Вытегорского муниципального района от 17 сентября 2024 года № 1249 «О внесении изменений в административный регламент предоставления муниципальной услуги по переводу жилого помещения в нежилое помещение</w:t>
      </w:r>
      <w:r>
        <w:rPr>
          <w:sz w:val="28"/>
          <w:szCs w:val="28"/>
        </w:rPr>
        <w:t xml:space="preserve"> и нежилого помещения в жилое помещение».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Настоящее постановление вступает в силу на следующий день после дня его официального опубликования.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84"/>
        <w:ind w:firstLine="0"/>
        <w:rPr>
          <w:rFonts w:ascii="Tinos" w:hAnsi="Tinos" w:cs="Tinos"/>
          <w:b/>
          <w:bCs/>
          <w:sz w:val="28"/>
          <w:szCs w:val="28"/>
        </w:rPr>
        <w:outlineLvl w:val="0"/>
      </w:pPr>
      <w:r>
        <w:rPr>
          <w:rFonts w:ascii="Tinos" w:hAnsi="Tinos" w:eastAsia="Tinos" w:cs="Tinos"/>
          <w:b/>
          <w:bCs/>
          <w:sz w:val="28"/>
          <w:szCs w:val="28"/>
        </w:rPr>
        <w:t xml:space="preserve">Глава </w:t>
      </w:r>
      <w:r>
        <w:rPr>
          <w:rFonts w:ascii="Tinos" w:hAnsi="Tinos" w:eastAsia="Tinos" w:cs="Tinos"/>
          <w:b/>
          <w:bCs/>
          <w:sz w:val="28"/>
          <w:szCs w:val="28"/>
        </w:rPr>
        <w:t xml:space="preserve">Вытегорского </w:t>
      </w:r>
      <w:r>
        <w:rPr>
          <w:rFonts w:ascii="Tinos" w:hAnsi="Tinos" w:eastAsia="Tinos" w:cs="Tinos"/>
          <w:b/>
          <w:bCs/>
          <w:sz w:val="28"/>
          <w:szCs w:val="28"/>
        </w:rPr>
      </w:r>
    </w:p>
    <w:p>
      <w:pPr>
        <w:pStyle w:val="884"/>
        <w:ind w:firstLine="0"/>
        <w:rPr>
          <w:rFonts w:ascii="Times New Roman" w:hAnsi="Times New Roman" w:cs="Times New Roman"/>
          <w:sz w:val="28"/>
          <w:szCs w:val="28"/>
        </w:rPr>
        <w:outlineLvl w:val="0"/>
      </w:pPr>
      <w:r>
        <w:rPr>
          <w:rFonts w:ascii="Tinos" w:hAnsi="Tinos" w:eastAsia="Tinos" w:cs="Tinos"/>
          <w:b/>
          <w:bCs/>
          <w:sz w:val="28"/>
          <w:szCs w:val="28"/>
        </w:rPr>
        <w:t xml:space="preserve">муниципального округа                                                               И.А. Абрамов</w:t>
      </w:r>
      <w:r>
        <w:rPr>
          <w:rStyle w:val="887"/>
          <w:rFonts w:ascii="Times New Roman" w:hAnsi="Times New Roman" w:cs="Times New Roman"/>
          <w:b w:val="0"/>
          <w:bCs w:val="0"/>
          <w:sz w:val="28"/>
          <w:szCs w:val="28"/>
        </w:rPr>
        <w:br w:type="page" w:clear="all"/>
      </w:r>
      <w:r>
        <w:rPr>
          <w:rStyle w:val="887"/>
          <w:rFonts w:ascii="Times New Roman" w:hAnsi="Times New Roman" w:cs="Times New Roman"/>
          <w:b w:val="0"/>
          <w:bCs w:val="0"/>
          <w:sz w:val="28"/>
          <w:szCs w:val="28"/>
        </w:rPr>
        <w:t xml:space="preserve">                                                                                                             </w:t>
      </w:r>
      <w:r>
        <w:rPr>
          <w:rStyle w:val="887"/>
          <w:rFonts w:ascii="Times New Roman" w:hAnsi="Times New Roman"/>
          <w:b w:val="0"/>
          <w:sz w:val="28"/>
          <w:szCs w:val="28"/>
        </w:rPr>
        <w:t xml:space="preserve">УТВЕРЖДЕН</w:t>
      </w:r>
      <w:r>
        <w:rPr>
          <w:rFonts w:ascii="Times New Roman" w:hAnsi="Times New Roman" w:cs="Times New Roman"/>
          <w:sz w:val="28"/>
          <w:szCs w:val="28"/>
        </w:rPr>
      </w:r>
      <w:r/>
    </w:p>
    <w:p>
      <w:pPr>
        <w:ind w:left="567"/>
        <w:jc w:val="right"/>
        <w:rPr>
          <w:rStyle w:val="887"/>
          <w:rFonts w:ascii="Times New Roman" w:hAnsi="Times New Roman"/>
          <w:b w:val="0"/>
          <w:bCs w:val="0"/>
          <w:sz w:val="28"/>
          <w:szCs w:val="28"/>
        </w:rPr>
      </w:pPr>
      <w:r>
        <w:rPr>
          <w:rStyle w:val="887"/>
          <w:rFonts w:ascii="Times New Roman" w:hAnsi="Times New Roman"/>
          <w:b w:val="0"/>
          <w:sz w:val="28"/>
          <w:szCs w:val="28"/>
        </w:rPr>
        <w:t xml:space="preserve">постановлением</w:t>
      </w:r>
      <w:r>
        <w:rPr>
          <w:rStyle w:val="887"/>
          <w:rFonts w:ascii="Times New Roman" w:hAnsi="Times New Roman"/>
          <w:b w:val="0"/>
          <w:bCs w:val="0"/>
          <w:sz w:val="28"/>
          <w:szCs w:val="28"/>
        </w:rPr>
      </w:r>
    </w:p>
    <w:p>
      <w:pPr>
        <w:ind w:left="567"/>
        <w:jc w:val="right"/>
        <w:rPr>
          <w:rStyle w:val="887"/>
          <w:rFonts w:ascii="Times New Roman" w:hAnsi="Times New Roman"/>
          <w:b w:val="0"/>
          <w:bCs w:val="0"/>
          <w:sz w:val="28"/>
          <w:szCs w:val="28"/>
        </w:rPr>
      </w:pPr>
      <w:r>
        <w:rPr>
          <w:rStyle w:val="887"/>
          <w:rFonts w:ascii="Times New Roman" w:hAnsi="Times New Roman"/>
          <w:b w:val="0"/>
          <w:sz w:val="28"/>
          <w:szCs w:val="28"/>
        </w:rPr>
        <w:t xml:space="preserve">Администрации</w:t>
      </w:r>
      <w:r>
        <w:rPr>
          <w:rStyle w:val="887"/>
          <w:rFonts w:ascii="Times New Roman" w:hAnsi="Times New Roman"/>
          <w:b w:val="0"/>
          <w:sz w:val="28"/>
          <w:szCs w:val="28"/>
        </w:rPr>
        <w:t xml:space="preserve"> округа</w:t>
      </w:r>
      <w:r/>
    </w:p>
    <w:p>
      <w:pPr>
        <w:ind w:left="567"/>
        <w:jc w:val="center"/>
        <w:rPr>
          <w:rStyle w:val="887"/>
          <w:rFonts w:ascii="Times New Roman" w:hAnsi="Times New Roman"/>
          <w:b w:val="0"/>
          <w:bCs w:val="0"/>
          <w:sz w:val="28"/>
          <w:szCs w:val="28"/>
          <w:highlight w:val="none"/>
        </w:rPr>
      </w:pPr>
      <w:r>
        <w:rPr>
          <w:rStyle w:val="887"/>
          <w:rFonts w:ascii="Times New Roman" w:hAnsi="Times New Roman"/>
          <w:b w:val="0"/>
          <w:sz w:val="28"/>
          <w:szCs w:val="28"/>
        </w:rPr>
        <w:t xml:space="preserve">                                                                                         от  03.03.2026 № 392</w:t>
      </w:r>
      <w:r>
        <w:rPr>
          <w:rStyle w:val="887"/>
          <w:rFonts w:ascii="Times New Roman" w:hAnsi="Times New Roman"/>
          <w:b w:val="0"/>
          <w:bCs w:val="0"/>
          <w:szCs w:val="28"/>
        </w:rPr>
      </w:r>
    </w:p>
    <w:p>
      <w:pPr>
        <w:ind w:left="567"/>
        <w:jc w:val="center"/>
        <w:rPr>
          <w:rStyle w:val="887"/>
          <w:rFonts w:ascii="Times New Roman" w:hAnsi="Times New Roman"/>
          <w:b w:val="0"/>
          <w:bCs w:val="0"/>
          <w:sz w:val="28"/>
          <w:szCs w:val="28"/>
        </w:rPr>
      </w:pPr>
      <w:r>
        <w:rPr>
          <w:rStyle w:val="887"/>
          <w:rFonts w:ascii="Times New Roman" w:hAnsi="Times New Roman"/>
          <w:b w:val="0"/>
          <w:bCs w:val="0"/>
          <w:sz w:val="28"/>
          <w:szCs w:val="28"/>
        </w:rPr>
      </w:r>
      <w:r>
        <w:rPr>
          <w:rStyle w:val="887"/>
          <w:rFonts w:ascii="Times New Roman" w:hAnsi="Times New Roman"/>
          <w:b w:val="0"/>
          <w:bCs w:val="0"/>
          <w:sz w:val="28"/>
          <w:szCs w:val="28"/>
        </w:rPr>
      </w:r>
    </w:p>
    <w:p>
      <w:pPr>
        <w:ind w:left="567"/>
        <w:jc w:val="center"/>
        <w:rPr>
          <w:rStyle w:val="887"/>
          <w:rFonts w:ascii="Times New Roman" w:hAnsi="Times New Roman"/>
          <w:b w:val="0"/>
          <w:bCs w:val="0"/>
          <w:sz w:val="28"/>
          <w:szCs w:val="28"/>
        </w:rPr>
      </w:pPr>
      <w:r>
        <w:rPr>
          <w:rStyle w:val="887"/>
          <w:rFonts w:ascii="Times New Roman" w:hAnsi="Times New Roman"/>
          <w:b w:val="0"/>
          <w:sz w:val="28"/>
          <w:szCs w:val="28"/>
          <w:highlight w:val="none"/>
        </w:rPr>
      </w:r>
      <w:r>
        <w:rPr>
          <w:rStyle w:val="887"/>
          <w:rFonts w:ascii="Times New Roman" w:hAnsi="Times New Roman"/>
          <w:b w:val="0"/>
          <w:sz w:val="28"/>
          <w:szCs w:val="28"/>
          <w:highlight w:val="none"/>
        </w:rPr>
      </w:r>
    </w:p>
    <w:p>
      <w:pPr>
        <w:jc w:val="center"/>
        <w:rPr>
          <w:rStyle w:val="887"/>
          <w:rFonts w:ascii="Times New Roman" w:hAnsi="Times New Roman" w:cs="Times New Roman"/>
          <w:bCs w:val="0"/>
          <w:sz w:val="28"/>
          <w:szCs w:val="28"/>
        </w:rPr>
      </w:pPr>
      <w:r>
        <w:rPr>
          <w:rStyle w:val="887"/>
          <w:rFonts w:ascii="Times New Roman" w:hAnsi="Times New Roman" w:cs="Times New Roman"/>
          <w:bCs w:val="0"/>
          <w:sz w:val="28"/>
          <w:szCs w:val="28"/>
        </w:rPr>
        <w:t xml:space="preserve">Административный регламент </w:t>
      </w:r>
      <w:r>
        <w:rPr>
          <w:rStyle w:val="887"/>
          <w:rFonts w:ascii="Times New Roman" w:hAnsi="Times New Roman" w:cs="Times New Roman"/>
          <w:bCs w:val="0"/>
          <w:sz w:val="28"/>
          <w:szCs w:val="28"/>
        </w:rPr>
      </w:r>
    </w:p>
    <w:p>
      <w:pPr>
        <w:jc w:val="center"/>
        <w:rPr>
          <w:rStyle w:val="887"/>
          <w:rFonts w:ascii="Times New Roman" w:hAnsi="Times New Roman" w:cs="Times New Roman"/>
          <w:sz w:val="28"/>
          <w:szCs w:val="28"/>
        </w:rPr>
      </w:pPr>
      <w:r>
        <w:rPr>
          <w:rStyle w:val="887"/>
          <w:rFonts w:ascii="Times New Roman" w:hAnsi="Times New Roman" w:cs="Times New Roman"/>
          <w:bCs w:val="0"/>
          <w:sz w:val="28"/>
          <w:szCs w:val="28"/>
        </w:rPr>
        <w:t xml:space="preserve">предоставления муниципальной услуги </w:t>
      </w:r>
      <w:r>
        <w:rPr>
          <w:rStyle w:val="887"/>
          <w:rFonts w:ascii="Times New Roman" w:hAnsi="Times New Roman" w:cs="Times New Roman"/>
          <w:bCs w:val="0"/>
          <w:sz w:val="28"/>
          <w:szCs w:val="28"/>
        </w:rPr>
        <w:br w:type="textWrapping" w:clear="all"/>
        <w:t xml:space="preserve">по переводу жилого помещения в нежилое помещение и нежилого помещения в жилое помещение</w:t>
      </w:r>
      <w:r>
        <w:rPr>
          <w:rStyle w:val="887"/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540"/>
        <w:jc w:val="both"/>
        <w:widowControl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</w:r>
      <w:r>
        <w:rPr>
          <w:rFonts w:ascii="Times New Roman" w:hAnsi="Times New Roman" w:cs="Times New Roman"/>
          <w:bCs/>
          <w:sz w:val="28"/>
          <w:szCs w:val="28"/>
        </w:rPr>
      </w:r>
    </w:p>
    <w:p>
      <w:pPr>
        <w:pStyle w:val="884"/>
        <w:ind w:firstLine="0"/>
        <w:jc w:val="center"/>
        <w:widowControl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I</w:t>
      </w:r>
      <w:r>
        <w:rPr>
          <w:rFonts w:ascii="Times New Roman" w:hAnsi="Times New Roman" w:cs="Times New Roman"/>
          <w:bCs/>
          <w:sz w:val="28"/>
          <w:szCs w:val="28"/>
        </w:rPr>
        <w:t xml:space="preserve">. Общие положения</w:t>
      </w:r>
      <w:r>
        <w:rPr>
          <w:rFonts w:ascii="Times New Roman" w:hAnsi="Times New Roman" w:cs="Times New Roman"/>
          <w:bCs/>
          <w:sz w:val="28"/>
          <w:szCs w:val="28"/>
        </w:rPr>
      </w:r>
    </w:p>
    <w:p>
      <w:pPr>
        <w:pStyle w:val="884"/>
        <w:ind w:firstLine="540"/>
        <w:jc w:val="both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  <w:outlineLvl w:val="0"/>
      </w:pPr>
      <w:r>
        <w:rPr>
          <w:sz w:val="28"/>
          <w:szCs w:val="28"/>
        </w:rPr>
        <w:t xml:space="preserve">1.1. Административный регламент предоставле</w:t>
      </w:r>
      <w:r>
        <w:rPr>
          <w:sz w:val="28"/>
          <w:szCs w:val="28"/>
        </w:rPr>
        <w:t xml:space="preserve">ния муниципальной услуги по переводу жилого помещения в нежилое помещение и нежилого помещения в жилое помещение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Муниципальная услуга включает: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принятие решения о переводе жилого помещения в нежилое помещение или нежилого помещения в жилое помещение или об отказе в переводе жилого помещения в нежилое помещение и нежилого помещения в жилое помещение;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принятие акта приемочной комиссии, подтверждающего завершение переустройства, и (или) перепланировки, и (или) иных работ</w:t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Заявителями при предоставлении муниципальной услуги являются физические и юридические лица, являющиеся собственниками жилого (</w:t>
      </w:r>
      <w:r>
        <w:rPr>
          <w:sz w:val="28"/>
          <w:szCs w:val="28"/>
        </w:rPr>
        <w:t xml:space="preserve">нежилого) помещения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либо их уполномоченные представители (далее – заявители). </w:t>
      </w:r>
      <w:r>
        <w:rPr>
          <w:sz w:val="28"/>
          <w:szCs w:val="28"/>
        </w:rPr>
      </w:r>
    </w:p>
    <w:p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Место нахождения Администрация Вытегорского муниципального округа, </w:t>
      </w:r>
      <w:r>
        <w:rPr>
          <w:iCs/>
          <w:sz w:val="28"/>
          <w:szCs w:val="28"/>
        </w:rPr>
        <w:t xml:space="preserve">его структурных подразделений (при наличии) (далее – Уполномоченный орган)</w:t>
      </w:r>
      <w:r>
        <w:rPr>
          <w:sz w:val="28"/>
          <w:szCs w:val="28"/>
        </w:rPr>
        <w:t xml:space="preserve">: Вологодская область, г. Вытегра, </w:t>
      </w:r>
      <w:r>
        <w:rPr>
          <w:sz w:val="28"/>
          <w:szCs w:val="28"/>
        </w:rPr>
        <w:t xml:space="preserve">пр-кт</w:t>
      </w:r>
      <w:r>
        <w:rPr>
          <w:sz w:val="28"/>
          <w:szCs w:val="28"/>
        </w:rPr>
        <w:t xml:space="preserve"> Ленина, д.68.</w:t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Почтовый адрес: Уполномоченного органа:162900, Вологодская область, г. Вытегра, </w:t>
      </w:r>
      <w:r>
        <w:rPr>
          <w:sz w:val="28"/>
          <w:szCs w:val="28"/>
        </w:rPr>
        <w:t xml:space="preserve">пр-кт</w:t>
      </w:r>
      <w:r>
        <w:rPr>
          <w:sz w:val="28"/>
          <w:szCs w:val="28"/>
        </w:rPr>
        <w:t xml:space="preserve"> Ленина, д.68.</w:t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График работы Уполномоченного органа:</w:t>
      </w:r>
      <w:r>
        <w:rPr>
          <w:sz w:val="28"/>
          <w:szCs w:val="28"/>
        </w:rPr>
      </w:r>
    </w:p>
    <w:tbl>
      <w:tblPr>
        <w:tblW w:w="0" w:type="auto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1E0" w:firstRow="1" w:lastRow="1" w:firstColumn="1" w:lastColumn="1" w:noHBand="0" w:noVBand="0"/>
      </w:tblPr>
      <w:tblGrid>
        <w:gridCol w:w="4753"/>
        <w:gridCol w:w="4710"/>
      </w:tblGrid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Понедельник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  <w:widowControl w:val="off"/>
            </w:pPr>
            <w:r>
              <w:t xml:space="preserve">Перерыв на обед с 12.00 до 13.00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Вторник</w:t>
            </w:r>
            <w:r/>
          </w:p>
        </w:tc>
        <w:tc>
          <w:tcPr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  <w:widowControl w:val="off"/>
            </w:pPr>
            <w:r>
              <w:t xml:space="preserve">Перерыв на обед с 12.00 до 13.00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Среда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  <w:widowControl w:val="off"/>
            </w:pPr>
            <w:r>
              <w:t xml:space="preserve">Перерыв на обед с 12.00 до 13.00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Четверг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</w:pPr>
            <w:r>
              <w:t xml:space="preserve">Перерыв на обед с 12.00 до 13.00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Пятница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</w:pPr>
            <w:r>
              <w:t xml:space="preserve">Перерыв на обед с 12.00 до 13.00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Суббота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Выходной день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Воскресенье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Выходной день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Предпраздничные дни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8.00 – 16.00</w:t>
            </w:r>
            <w:r/>
          </w:p>
          <w:p>
            <w:pPr>
              <w:ind w:right="-5"/>
              <w:jc w:val="center"/>
            </w:pPr>
            <w:r>
              <w:t xml:space="preserve">Перерыв на обед с  12.00 до 13.00</w:t>
            </w:r>
            <w:r/>
          </w:p>
        </w:tc>
      </w:tr>
    </w:tbl>
    <w:p>
      <w:pPr>
        <w:pStyle w:val="884"/>
        <w:ind w:firstLine="540"/>
        <w:spacing w:before="2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График приема документов:</w:t>
      </w:r>
      <w:r>
        <w:rPr>
          <w:rFonts w:ascii="Times New Roman" w:hAnsi="Times New Roman" w:cs="Times New Roman"/>
          <w:sz w:val="24"/>
          <w:szCs w:val="24"/>
        </w:rPr>
      </w:r>
    </w:p>
    <w:tbl>
      <w:tblPr>
        <w:tblW w:w="0" w:type="auto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1E0" w:firstRow="1" w:lastRow="1" w:firstColumn="1" w:lastColumn="1" w:noHBand="0" w:noVBand="0"/>
      </w:tblPr>
      <w:tblGrid>
        <w:gridCol w:w="4753"/>
        <w:gridCol w:w="4710"/>
      </w:tblGrid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Понедельник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13.00 – 17.00</w:t>
            </w:r>
            <w:r/>
          </w:p>
          <w:p>
            <w:pPr>
              <w:ind w:right="-5"/>
              <w:jc w:val="center"/>
              <w:widowControl w:val="off"/>
            </w:pPr>
            <w:r>
              <w:t xml:space="preserve">Перерыв на обед с 12:00 до 13:00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Вторник</w:t>
            </w:r>
            <w:r/>
          </w:p>
        </w:tc>
        <w:tc>
          <w:tcPr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-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Среда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-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Четверг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  <w:widowControl w:val="off"/>
            </w:pPr>
            <w:r>
              <w:t xml:space="preserve">08.00 – 17.00</w:t>
            </w:r>
            <w:r/>
          </w:p>
          <w:p>
            <w:pPr>
              <w:ind w:right="-5"/>
              <w:jc w:val="center"/>
            </w:pPr>
            <w:r>
              <w:t xml:space="preserve">Перерыв на обед с 12:00 до 13:00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Пятница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-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Суббота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Выходной день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Воскресенье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Выходной день</w:t>
            </w:r>
            <w:r/>
          </w:p>
        </w:tc>
      </w:tr>
      <w:tr>
        <w:tblPrEx/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53" w:type="dxa"/>
            <w:textDirection w:val="lrTb"/>
            <w:noWrap w:val="false"/>
          </w:tcPr>
          <w:p>
            <w:pPr>
              <w:ind w:right="-5"/>
              <w:jc w:val="both"/>
            </w:pPr>
            <w:r>
              <w:t xml:space="preserve">Предпраздничные дни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textDirection w:val="lrTb"/>
            <w:noWrap w:val="false"/>
          </w:tcPr>
          <w:p>
            <w:pPr>
              <w:ind w:right="-5"/>
              <w:jc w:val="center"/>
            </w:pPr>
            <w:r>
              <w:t xml:space="preserve">8.00 – 16.00</w:t>
            </w:r>
            <w:r/>
          </w:p>
          <w:p>
            <w:pPr>
              <w:ind w:right="-5"/>
              <w:jc w:val="center"/>
            </w:pPr>
            <w:r>
              <w:t xml:space="preserve">Перерыв на обед с  12:00 до 13:00</w:t>
            </w:r>
            <w:r/>
          </w:p>
        </w:tc>
      </w:tr>
    </w:tbl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contextualSpacing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График личного приема руководителя уполномоченного органа устанавливается ежемесячно и размещается на официальном сайте уполномоченного органа.</w:t>
      </w:r>
      <w:r>
        <w:rPr>
          <w:sz w:val="28"/>
          <w:szCs w:val="28"/>
        </w:rPr>
      </w:r>
    </w:p>
    <w:p>
      <w:pPr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Телефон для информирования по вопросам, связанным с предоставлением муниципальной услуги: (81746) 2-12-58.</w:t>
      </w:r>
      <w:r>
        <w:rPr>
          <w:sz w:val="28"/>
          <w:szCs w:val="28"/>
        </w:rPr>
      </w:r>
    </w:p>
    <w:p>
      <w:pPr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- Единый портал) в сети Интернет: </w:t>
      </w:r>
      <w:hyperlink r:id="rId10" w:tooltip="https://gosuslugi35.ru" w:history="1">
        <w:r>
          <w:rPr>
            <w:rStyle w:val="866"/>
            <w:rFonts w:eastAsia="Arial"/>
            <w:sz w:val="28"/>
            <w:szCs w:val="28"/>
          </w:rPr>
          <w:t xml:space="preserve">https://gosuslugi35.ru</w:t>
        </w:r>
      </w:hyperlink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государственной информационной системы "Портал государственных и муниципальных услуг (функций) Вологодской области" (далее также - Региональный портал) в сети Интернет: 35</w:t>
      </w:r>
      <w:r>
        <w:rPr>
          <w:sz w:val="28"/>
          <w:szCs w:val="28"/>
          <w:lang w:val="en-US"/>
        </w:rPr>
        <w:t xml:space="preserve">vytegorskij</w:t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  <w:t xml:space="preserve">gosuslugi.ru</w:t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contextualSpacing/>
        <w:ind w:firstLine="567"/>
        <w:jc w:val="both"/>
        <w:tabs>
          <w:tab w:val="left" w:pos="1134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Адрес официального сайта уполномоченного органа в информационно-телекоммуникационной сети «Интернет» (далее - Интернет-сайт): https://.</w:t>
      </w:r>
      <w:hyperlink r:id="rId11" w:tooltip="http://www.vytegra@r08.gov35.ru" w:history="1">
        <w:r>
          <w:rPr>
            <w:rStyle w:val="866"/>
            <w:rFonts w:eastAsia="Arial"/>
            <w:sz w:val="28"/>
            <w:szCs w:val="28"/>
          </w:rPr>
          <w:t xml:space="preserve">www.</w:t>
        </w:r>
        <w:r>
          <w:rPr>
            <w:rStyle w:val="866"/>
            <w:rFonts w:eastAsia="Arial"/>
            <w:sz w:val="28"/>
            <w:szCs w:val="28"/>
            <w:lang w:val="en-US"/>
          </w:rPr>
          <w:t xml:space="preserve">vytegra</w:t>
        </w:r>
        <w:r>
          <w:rPr>
            <w:rStyle w:val="866"/>
            <w:rFonts w:eastAsia="Arial"/>
            <w:sz w:val="28"/>
            <w:szCs w:val="28"/>
          </w:rPr>
          <w:t xml:space="preserve">@</w:t>
        </w:r>
        <w:r>
          <w:rPr>
            <w:rStyle w:val="866"/>
            <w:rFonts w:eastAsia="Arial"/>
            <w:sz w:val="28"/>
            <w:szCs w:val="28"/>
            <w:lang w:val="en-US"/>
          </w:rPr>
          <w:t xml:space="preserve">r</w:t>
        </w:r>
        <w:r>
          <w:rPr>
            <w:rStyle w:val="866"/>
            <w:rFonts w:eastAsia="Arial"/>
            <w:sz w:val="28"/>
            <w:szCs w:val="28"/>
          </w:rPr>
          <w:t xml:space="preserve">08.</w:t>
        </w:r>
        <w:r>
          <w:rPr>
            <w:rStyle w:val="866"/>
            <w:rFonts w:eastAsia="Arial"/>
            <w:sz w:val="28"/>
            <w:szCs w:val="28"/>
            <w:lang w:val="en-US"/>
          </w:rPr>
          <w:t xml:space="preserve">gov</w:t>
        </w:r>
        <w:r>
          <w:rPr>
            <w:rStyle w:val="866"/>
            <w:rFonts w:eastAsia="Arial"/>
            <w:sz w:val="28"/>
            <w:szCs w:val="28"/>
          </w:rPr>
          <w:t xml:space="preserve">35.ru</w:t>
        </w:r>
      </w:hyperlink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pStyle w:val="884"/>
        <w:ind w:firstLine="540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Сведения о месте нахождения многофункциональных центр</w:t>
      </w:r>
      <w:r>
        <w:rPr>
          <w:rFonts w:ascii="Times New Roman" w:hAnsi="Times New Roman" w:cs="Times New Roman"/>
          <w:sz w:val="28"/>
          <w:szCs w:val="28"/>
        </w:rPr>
        <w:t xml:space="preserve">ов предоставления государственных и муниципальных услуг (далее также - МФЦ), контактных телефонах, адресах электронной почты, графике работы и адресах официальных сайтов в сети «Интернет» приводятся в приложении 4 к настоящему административному регламенту.</w:t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1.4. Способы получения информации о правилах предоставления</w:t>
      </w:r>
      <w:r>
        <w:rPr>
          <w:sz w:val="28"/>
          <w:szCs w:val="28"/>
        </w:rPr>
        <w:t xml:space="preserve"> муниципальной услуги: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лично;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телефонной связи;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электронной почты,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почтовой связи;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информационных стендах в помещениях </w:t>
      </w:r>
      <w:r>
        <w:rPr>
          <w:iCs/>
          <w:sz w:val="28"/>
          <w:szCs w:val="28"/>
        </w:rPr>
        <w:t xml:space="preserve">Уполномоченного органа</w:t>
      </w:r>
      <w:r>
        <w:rPr>
          <w:sz w:val="28"/>
          <w:szCs w:val="28"/>
        </w:rPr>
        <w:t xml:space="preserve">, МФЦ;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информационно-телекоммуникационной сети «Интернет»: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официальном сайте </w:t>
      </w:r>
      <w:r>
        <w:rPr>
          <w:sz w:val="28"/>
          <w:szCs w:val="28"/>
        </w:rPr>
        <w:t xml:space="preserve">Уполномоченного органа, МФЦ;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Едином портале государственных и муниципальных услуг (функций);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Региональном портале.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1.5. Порядок информирования о предоставлении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1.5.1. Информирование о предоставлении муниципальной услуги осуществляется по следующим вопросам: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место нахождения Уполномоченного органа, его структурных подразделений, МФЦ;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  <w:r>
        <w:rPr>
          <w:sz w:val="28"/>
          <w:szCs w:val="28"/>
        </w:rPr>
      </w:r>
    </w:p>
    <w:p>
      <w:pPr>
        <w:ind w:right="-5" w:firstLine="720"/>
        <w:jc w:val="both"/>
        <w:rPr>
          <w:i/>
          <w:sz w:val="28"/>
          <w:szCs w:val="28"/>
          <w:u w:val="single"/>
        </w:rPr>
      </w:pPr>
      <w:r>
        <w:rPr>
          <w:sz w:val="28"/>
          <w:szCs w:val="28"/>
        </w:rPr>
        <w:t xml:space="preserve">график работы Уполномоченного органа, МФЦ;</w:t>
      </w:r>
      <w:r>
        <w:rPr>
          <w:i/>
          <w:sz w:val="28"/>
          <w:szCs w:val="28"/>
          <w:u w:val="single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 сайта в сети «Интернет» Уполномоченного органа, МФЦ;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 электронной почты Уполномоченного органа, МФЦ;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ход предоставления муниципальной услуги;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административные процедуры предоставления муниципальной услуги;</w:t>
      </w:r>
      <w:r>
        <w:rPr>
          <w:sz w:val="28"/>
          <w:szCs w:val="28"/>
        </w:rPr>
      </w:r>
    </w:p>
    <w:p>
      <w:pPr>
        <w:ind w:right="-5" w:firstLine="720"/>
        <w:jc w:val="both"/>
        <w:tabs>
          <w:tab w:val="left" w:pos="54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срок предоставления муниципальной услуги;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порядок и формы контроля за предоставлением муниципальной услуги;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основания для отказа в предоставлении муниципальной услуги;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Информирование проводится на русском языке в форме индивидуального и публичного информирования.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>
        <w:rPr>
          <w:sz w:val="28"/>
          <w:szCs w:val="28"/>
        </w:rPr>
        <w:t xml:space="preserve">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</w:t>
      </w:r>
      <w:r>
        <w:rPr>
          <w:sz w:val="28"/>
          <w:szCs w:val="28"/>
        </w:rPr>
        <w:t xml:space="preserve">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если предоставление информации, необхо</w:t>
      </w:r>
      <w:r>
        <w:rPr>
          <w:sz w:val="28"/>
          <w:szCs w:val="28"/>
        </w:rPr>
        <w:t xml:space="preserve">димой заявителю, не представляется возможным посредством телефона, сотрудник Уполномоченного органа/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</w:t>
      </w:r>
      <w:r>
        <w:rPr>
          <w:sz w:val="28"/>
          <w:szCs w:val="28"/>
        </w:rPr>
        <w:t xml:space="preserve">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  <w:r>
        <w:rPr>
          <w:sz w:val="28"/>
          <w:szCs w:val="28"/>
        </w:rPr>
      </w:r>
    </w:p>
    <w:p>
      <w:pPr>
        <w:pStyle w:val="930"/>
        <w:ind w:firstLine="709"/>
        <w:jc w:val="both"/>
        <w:spacing w:before="0" w:beforeAutospacing="0" w:after="0" w:afterAutospacing="0"/>
        <w:rPr>
          <w:sz w:val="22"/>
          <w:szCs w:val="22"/>
        </w:rPr>
      </w:pPr>
      <w:r>
        <w:rPr>
          <w:sz w:val="28"/>
          <w:szCs w:val="28"/>
        </w:rPr>
        <w:t xml:space="preserve"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  <w:r>
        <w:rPr>
          <w:sz w:val="22"/>
          <w:szCs w:val="22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  <w:r>
        <w:rPr>
          <w:sz w:val="28"/>
          <w:szCs w:val="28"/>
        </w:rPr>
      </w:r>
    </w:p>
    <w:p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1.5.5. Публи</w:t>
      </w:r>
      <w:r>
        <w:rPr>
          <w:sz w:val="28"/>
          <w:szCs w:val="28"/>
        </w:rPr>
        <w:t xml:space="preserve">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  <w:r>
        <w:rPr>
          <w:sz w:val="28"/>
          <w:szCs w:val="28"/>
        </w:rPr>
      </w:r>
    </w:p>
    <w:p>
      <w:pPr>
        <w:ind w:right="-5" w:firstLine="720"/>
        <w:jc w:val="both"/>
        <w:tabs>
          <w:tab w:val="left" w:pos="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в средствах массовой информации;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на официальном сайте в сети Интернет;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на Едином портале;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на Региональном портале;</w:t>
      </w:r>
      <w:r>
        <w:rPr>
          <w:sz w:val="28"/>
          <w:szCs w:val="28"/>
        </w:rPr>
      </w:r>
    </w:p>
    <w:p>
      <w:pPr>
        <w:ind w:right="-5" w:firstLine="72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на информационных стендах Уполномоченного органа, МФЦ.</w:t>
      </w:r>
      <w:r>
        <w:rPr>
          <w:sz w:val="28"/>
          <w:szCs w:val="28"/>
        </w:rPr>
      </w:r>
    </w:p>
    <w:p>
      <w:pPr>
        <w:pStyle w:val="888"/>
        <w:ind w:firstLine="0"/>
        <w:jc w:val="both"/>
        <w:tabs>
          <w:tab w:val="num" w:pos="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II</w:t>
      </w:r>
      <w:r>
        <w:rPr>
          <w:sz w:val="28"/>
          <w:szCs w:val="28"/>
        </w:rPr>
        <w:t xml:space="preserve">. Стандарт предоставления муниципальной услуги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702"/>
        <w:ind w:firstLine="540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2.1. Наименование муниципальной услуги</w:t>
      </w:r>
      <w:r>
        <w:rPr>
          <w:i/>
          <w:iCs/>
          <w:lang w:val="ru-RU"/>
        </w:rPr>
      </w:r>
    </w:p>
    <w:p>
      <w:r/>
      <w:r/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Перевод жилого помещения в нежилое помещения и нежилого помещения в жилое помещение (далее – перевод помещения).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2.2. Наименование органа местного самоуправления, </w:t>
      </w:r>
      <w:r>
        <w:rPr>
          <w:i/>
          <w:iCs/>
          <w:lang w:val="ru-RU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предоставляющего муниципальную услугу</w:t>
      </w:r>
      <w:r>
        <w:rPr>
          <w:i/>
          <w:iCs/>
          <w:lang w:val="ru-RU"/>
        </w:rPr>
      </w:r>
    </w:p>
    <w:p>
      <w:pPr>
        <w:ind w:firstLine="54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pacing w:val="-4"/>
          <w:sz w:val="28"/>
          <w:szCs w:val="28"/>
          <w:shd w:val="clear" w:color="auto" w:fill="ffffff"/>
        </w:rPr>
        <w:t xml:space="preserve">2.2.1. Муниципальная услуга предоставляется </w:t>
      </w:r>
      <w:r>
        <w:rPr>
          <w:spacing w:val="-4"/>
          <w:sz w:val="28"/>
          <w:szCs w:val="28"/>
          <w:shd w:val="clear" w:color="auto" w:fill="ffffff"/>
        </w:rPr>
        <w:t xml:space="preserve">о</w:t>
      </w:r>
      <w:r>
        <w:rPr>
          <w:sz w:val="28"/>
          <w:szCs w:val="28"/>
        </w:rPr>
        <w:t xml:space="preserve">тделом архитектуры и градостроительства Администрации Вытегорского муниципального округа</w:t>
      </w:r>
      <w:r>
        <w:rPr>
          <w:sz w:val="28"/>
          <w:szCs w:val="28"/>
        </w:rPr>
        <w:t xml:space="preserve"> – в части приема, подготовки и выдачи документов на предоставление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МФЦ по месту жительства заявителя - в части приема и (или) выдачи документов на предоставление муниципальной услуги</w:t>
      </w:r>
      <w:r>
        <w:rPr>
          <w:i/>
          <w:sz w:val="28"/>
          <w:szCs w:val="28"/>
        </w:rPr>
        <w:t xml:space="preserve">.</w:t>
      </w:r>
      <w:r>
        <w:rPr>
          <w:i/>
          <w:sz w:val="28"/>
          <w:szCs w:val="28"/>
        </w:rPr>
      </w:r>
    </w:p>
    <w:p>
      <w:pPr>
        <w:pStyle w:val="926"/>
        <w:ind w:firstLine="709"/>
        <w:jc w:val="both"/>
        <w:spacing w:before="0" w:after="0"/>
        <w:rPr>
          <w:i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 </w:t>
      </w:r>
      <w:r>
        <w:rPr>
          <w:i/>
          <w:sz w:val="28"/>
          <w:szCs w:val="28"/>
          <w:lang w:val="ru-RU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98"/>
        <w:jc w:val="center"/>
        <w:spacing w:after="0" w:line="240" w:lineRule="auto"/>
        <w:rPr>
          <w:i/>
          <w:iCs/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 xml:space="preserve">2.3. Результат предоставления муниципальной услуги</w:t>
      </w:r>
      <w:r>
        <w:rPr>
          <w:i/>
          <w:iCs/>
          <w:sz w:val="28"/>
          <w:szCs w:val="28"/>
          <w:lang w:val="ru-RU"/>
        </w:rPr>
      </w:r>
    </w:p>
    <w:p>
      <w:pPr>
        <w:pStyle w:val="898"/>
        <w:jc w:val="center"/>
        <w:spacing w:after="0" w:line="240" w:lineRule="auto"/>
        <w:rPr>
          <w:i/>
          <w:iCs/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</w:r>
      <w:r>
        <w:rPr>
          <w:i/>
          <w:iCs/>
          <w:sz w:val="28"/>
          <w:szCs w:val="28"/>
          <w:lang w:val="ru-RU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rStyle w:val="909"/>
          <w:sz w:val="28"/>
          <w:szCs w:val="28"/>
        </w:rPr>
      </w:pPr>
      <w:r/>
      <w:bookmarkStart w:id="0" w:name="_Toc294183574"/>
      <w:r>
        <w:rPr>
          <w:rStyle w:val="909"/>
          <w:sz w:val="28"/>
          <w:szCs w:val="28"/>
        </w:rPr>
        <w:t xml:space="preserve">Результатом предоставления муниципальной услуги являются:</w:t>
      </w:r>
      <w:r>
        <w:rPr>
          <w:rStyle w:val="909"/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rStyle w:val="909"/>
          <w:sz w:val="28"/>
          <w:szCs w:val="28"/>
        </w:rPr>
        <w:t xml:space="preserve">решение о переводе помещения;</w:t>
      </w:r>
      <w:r>
        <w:rPr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rStyle w:val="909"/>
          <w:sz w:val="28"/>
          <w:szCs w:val="28"/>
        </w:rPr>
        <w:t xml:space="preserve">решение об отказе в переводе помещения;</w:t>
      </w:r>
      <w:r>
        <w:rPr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rStyle w:val="909"/>
          <w:sz w:val="28"/>
          <w:szCs w:val="28"/>
        </w:rPr>
      </w:pPr>
      <w:r>
        <w:rPr>
          <w:rStyle w:val="909"/>
          <w:sz w:val="28"/>
          <w:szCs w:val="28"/>
        </w:rPr>
        <w:t xml:space="preserve">акт приемочной комиссии, подтверждающий завершение переустройства, и (или) перепланировки, и (или) иных работ;</w:t>
      </w:r>
      <w:r>
        <w:rPr>
          <w:rStyle w:val="909"/>
          <w:sz w:val="28"/>
          <w:szCs w:val="28"/>
        </w:rPr>
      </w:r>
    </w:p>
    <w:p>
      <w:pPr>
        <w:pStyle w:val="898"/>
        <w:jc w:val="both"/>
        <w:spacing w:after="0" w:line="24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bookmarkEnd w:id="0"/>
      <w:r>
        <w:rPr>
          <w:sz w:val="28"/>
          <w:szCs w:val="28"/>
          <w:lang w:val="ru-RU"/>
        </w:rPr>
      </w:r>
    </w:p>
    <w:p>
      <w:pPr>
        <w:pStyle w:val="702"/>
        <w:ind w:firstLine="540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2.4. Срок предоставления муниципальной услуги</w:t>
      </w:r>
      <w:r>
        <w:rPr>
          <w:i/>
          <w:iCs/>
          <w:lang w:val="ru-RU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rStyle w:val="909"/>
          <w:sz w:val="28"/>
          <w:szCs w:val="28"/>
        </w:rPr>
      </w:pPr>
      <w:r>
        <w:rPr>
          <w:sz w:val="28"/>
          <w:szCs w:val="28"/>
        </w:rPr>
      </w:r>
      <w:r>
        <w:rPr>
          <w:rStyle w:val="909"/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rStyle w:val="909"/>
          <w:sz w:val="28"/>
          <w:szCs w:val="28"/>
        </w:rPr>
        <w:t xml:space="preserve">2.4.1. Решение о переводе или об отказе в переводе помещения должно быть принято в </w:t>
      </w:r>
      <w:r>
        <w:rPr>
          <w:rStyle w:val="909"/>
          <w:sz w:val="28"/>
          <w:szCs w:val="28"/>
        </w:rPr>
        <w:t xml:space="preserve">срок</w:t>
      </w:r>
      <w:r>
        <w:rPr>
          <w:rStyle w:val="909"/>
          <w:sz w:val="28"/>
          <w:szCs w:val="28"/>
        </w:rPr>
        <w:t xml:space="preserve"> не превышающий 45 </w:t>
      </w:r>
      <w:r>
        <w:rPr>
          <w:rStyle w:val="909"/>
          <w:sz w:val="28"/>
          <w:szCs w:val="28"/>
        </w:rPr>
        <w:t xml:space="preserve">календарных дней со дня представления в Уполномоченный орган документов, обязанность по представлению которых в соответствии с настоящим административным регламентом возложена на заявителя (либо со дня передачи МФЦ таких документов в Уполномоченный орган).</w:t>
      </w:r>
      <w:r>
        <w:rPr>
          <w:sz w:val="28"/>
          <w:szCs w:val="28"/>
        </w:rPr>
      </w:r>
    </w:p>
    <w:p>
      <w:pPr>
        <w:pStyle w:val="910"/>
        <w:ind w:firstLine="708"/>
        <w:jc w:val="both"/>
        <w:spacing w:before="0" w:beforeAutospacing="0" w:after="0" w:afterAutospacing="0"/>
        <w:shd w:val="clear" w:color="auto" w:fill="ffffff"/>
        <w:rPr>
          <w:rStyle w:val="909"/>
          <w:sz w:val="28"/>
          <w:szCs w:val="28"/>
        </w:rPr>
      </w:pPr>
      <w:r>
        <w:rPr>
          <w:rStyle w:val="909"/>
          <w:sz w:val="28"/>
          <w:szCs w:val="28"/>
        </w:rPr>
        <w:t xml:space="preserve">Выдача (направление) заявителю документов, подтверждающих принятие решения о переводе или об отказе в переводе помещения — в течение трех рабочих дней со дня принятия решения о переводе или об отказе в переводе помещения.</w:t>
      </w:r>
      <w:r>
        <w:rPr>
          <w:rStyle w:val="909"/>
          <w:sz w:val="28"/>
          <w:szCs w:val="28"/>
        </w:rPr>
      </w:r>
    </w:p>
    <w:p>
      <w:pPr>
        <w:pStyle w:val="910"/>
        <w:ind w:firstLine="708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rStyle w:val="909"/>
          <w:sz w:val="28"/>
          <w:szCs w:val="28"/>
        </w:rPr>
        <w:t xml:space="preserve">Уполном</w:t>
      </w:r>
      <w:r>
        <w:rPr>
          <w:rStyle w:val="909"/>
          <w:sz w:val="28"/>
          <w:szCs w:val="28"/>
        </w:rPr>
        <w:t xml:space="preserve">оченный орган, одновременно с выдачей или направлением заявителю решения о переводе (об отказе в переводе) помещения информирует о принятии указанного решения собственников помещений, примыкающих к помещению, в отношении которого принято указанное решение.</w:t>
      </w:r>
      <w:r>
        <w:rPr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rStyle w:val="909"/>
          <w:sz w:val="28"/>
          <w:szCs w:val="28"/>
        </w:rPr>
      </w:pPr>
      <w:r>
        <w:rPr>
          <w:rStyle w:val="909"/>
          <w:sz w:val="28"/>
          <w:szCs w:val="28"/>
        </w:rPr>
        <w:t xml:space="preserve">2.4.2. Подготовка акта приемочной комиссии осуществляется в течение 30 календарных дней со дня представления заявления о приемке завершенного переустройства, и (или) перепланировки, и (или) иных работ приемочной комиссией.</w:t>
      </w:r>
      <w:r>
        <w:rPr>
          <w:rStyle w:val="909"/>
          <w:sz w:val="28"/>
          <w:szCs w:val="28"/>
        </w:rPr>
      </w:r>
    </w:p>
    <w:p>
      <w:pPr>
        <w:pStyle w:val="908"/>
        <w:ind w:firstLine="708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rStyle w:val="909"/>
          <w:sz w:val="28"/>
          <w:szCs w:val="28"/>
        </w:rPr>
        <w:t xml:space="preserve">Выдача (направление) заявителю акта приемочной комиссии, направление акта приемочной комиссии, подтверждающего завершение переустройства и (или) перепланировки </w:t>
      </w:r>
      <w:bookmarkStart w:id="1" w:name="r28"/>
      <w:r/>
      <w:bookmarkEnd w:id="1"/>
      <w:r>
        <w:rPr>
          <w:rStyle w:val="909"/>
          <w:sz w:val="28"/>
          <w:szCs w:val="28"/>
        </w:rPr>
        <w:t xml:space="preserve">— в течение трех рабочих дней со дня подписания акта приемочной комиссии.</w:t>
      </w:r>
      <w:r>
        <w:rPr>
          <w:sz w:val="28"/>
          <w:szCs w:val="28"/>
        </w:rPr>
      </w:r>
    </w:p>
    <w:p>
      <w:pPr>
        <w:pStyle w:val="908"/>
        <w:ind w:firstLine="709"/>
        <w:jc w:val="both"/>
        <w:spacing w:before="0" w:beforeAutospacing="0" w:after="0" w:afterAutospacing="0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2.5. Правовые основания для предоставления муниципальной услуги</w:t>
      </w:r>
      <w:r>
        <w:rPr>
          <w:rStyle w:val="869"/>
          <w:i/>
        </w:rPr>
        <w:t xml:space="preserve"> </w:t>
      </w:r>
      <w:r>
        <w:rPr>
          <w:i/>
          <w:sz w:val="28"/>
          <w:szCs w:val="28"/>
        </w:rPr>
      </w:r>
    </w:p>
    <w:p>
      <w:r/>
      <w:r/>
    </w:p>
    <w:p>
      <w:pPr>
        <w:pStyle w:val="889"/>
        <w:ind w:firstLine="709"/>
        <w:rPr>
          <w:sz w:val="28"/>
          <w:szCs w:val="28"/>
        </w:rPr>
      </w:pPr>
      <w:r>
        <w:rPr>
          <w:bCs/>
          <w:sz w:val="28"/>
          <w:szCs w:val="28"/>
        </w:rPr>
        <w:t xml:space="preserve">Предоставление муниципальной услуги </w:t>
      </w:r>
      <w:r>
        <w:rPr>
          <w:sz w:val="28"/>
          <w:szCs w:val="28"/>
        </w:rPr>
        <w:t xml:space="preserve">осуществляется в соответствии с: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Жилищным кодексом Российской Федерации от 29 декабря 2004 года № 188-ФЗ;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25 июня 2002 года № 73-ФЗ «Об объектах культурного наследия (памятниках истории и культуры) народов Российской Федерации»;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6 октября 2003 года № 131-ФЗ «Об общих принципах организации местного самоуправления в Российской Федерации»;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Федеральн</w:t>
      </w:r>
      <w:r>
        <w:rPr>
          <w:sz w:val="28"/>
          <w:szCs w:val="28"/>
        </w:rPr>
        <w:t xml:space="preserve">ым</w:t>
      </w:r>
      <w:r>
        <w:rPr>
          <w:sz w:val="28"/>
          <w:szCs w:val="28"/>
        </w:rPr>
        <w:t xml:space="preserve"> закон</w:t>
      </w:r>
      <w:r>
        <w:rPr>
          <w:sz w:val="28"/>
          <w:szCs w:val="28"/>
        </w:rPr>
        <w:t xml:space="preserve">ом</w:t>
      </w:r>
      <w:r>
        <w:rPr>
          <w:sz w:val="28"/>
          <w:szCs w:val="28"/>
        </w:rPr>
        <w:t xml:space="preserve"> от 20</w:t>
      </w:r>
      <w:r>
        <w:rPr>
          <w:sz w:val="28"/>
          <w:szCs w:val="28"/>
        </w:rPr>
        <w:t xml:space="preserve"> марта </w:t>
      </w:r>
      <w:r>
        <w:rPr>
          <w:sz w:val="28"/>
          <w:szCs w:val="28"/>
        </w:rPr>
        <w:t xml:space="preserve">2025</w:t>
      </w:r>
      <w:r>
        <w:rPr>
          <w:sz w:val="28"/>
          <w:szCs w:val="28"/>
        </w:rPr>
        <w:t xml:space="preserve"> года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№</w:t>
      </w:r>
      <w:r>
        <w:rPr>
          <w:sz w:val="28"/>
          <w:szCs w:val="28"/>
        </w:rPr>
        <w:t xml:space="preserve"> 33-ФЗ</w:t>
      </w:r>
      <w:r>
        <w:rPr>
          <w:sz w:val="28"/>
          <w:szCs w:val="28"/>
        </w:rPr>
        <w:t xml:space="preserve"> «</w:t>
      </w:r>
      <w:r>
        <w:rPr>
          <w:sz w:val="28"/>
          <w:szCs w:val="28"/>
        </w:rPr>
        <w:t xml:space="preserve">Об общих принципах организации местного самоуправления в е</w:t>
      </w:r>
      <w:r>
        <w:rPr>
          <w:sz w:val="28"/>
          <w:szCs w:val="28"/>
        </w:rPr>
        <w:t xml:space="preserve">диной системе публичной власти»;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27 июля 2010 года № 210-ФЗ «Об организации предоставления государственных и муниципальных услуг»;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24 ноября 1995 года № 181-ФЗ «О социальной защите инвалидов в Российской Федерации»;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Федеральным законом от 6 апреля 2011 года № 63-ФЗ «Об электронной подписи»;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постановлением Правительства Российской Федерации от 10 августа 2005 года № 502 «Об утверждении формы уведомления о переводе (отказе в переводе) жилого (нежилого) помещения в нежилое (жилое) помещение»;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постановлением Правительства Россий</w:t>
      </w:r>
      <w:r>
        <w:rPr>
          <w:sz w:val="28"/>
          <w:szCs w:val="28"/>
        </w:rPr>
        <w:t xml:space="preserve">ской Федерации от 28 апреля 2005 года № 266 «Об утверждении формы заявления о переустройстве и (или) перепланировке жилого помещения и формы документа, подтверждающего принятие решения о согласовании переустройства и (или) перепланировки жилого помещения»;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постановлением Правительства РФ от 28 я</w:t>
      </w:r>
      <w:r>
        <w:rPr>
          <w:sz w:val="28"/>
          <w:szCs w:val="28"/>
        </w:rPr>
        <w:t xml:space="preserve">нваря 2006 года № 47 «Об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домом»</w:t>
      </w:r>
      <w:r>
        <w:rPr>
          <w:i/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ind w:firstLine="709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2.6.1. Для перевода помещения заявитель представляет (направляет):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заявление о переводе помещения в нежилое помещения и нежилого помещения в жилое помещение (далее также – заявление о переводе помещения, заявление) по форме согласно приложению 1 к настоящему административному регламенту.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Заявление, по просьбе заявителя, </w:t>
      </w:r>
      <w:r>
        <w:rPr>
          <w:sz w:val="28"/>
          <w:szCs w:val="28"/>
        </w:rPr>
        <w:t xml:space="preserve">может быть заполнено специалистом, ответственным за прием документов, с помощью компьютера или от руки. 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Заявление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(при наличии).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заполнении </w:t>
      </w:r>
      <w:hyperlink w:tooltip="                                 ЗАЯВЛЕНИЕ" w:anchor="Par419" w:history="1">
        <w:r>
          <w:rPr>
            <w:rFonts w:ascii="Times New Roman" w:hAnsi="Times New Roman" w:cs="Times New Roman"/>
            <w:sz w:val="28"/>
            <w:szCs w:val="28"/>
          </w:rPr>
          <w:t xml:space="preserve">заявления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не допускается использование сокращений слов и аббревиатур.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Форма заявления размещается на официальном сайте Уполномоченного органа в сети «Интернет» с возможностью бесплатного копирования (скачивания).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правоустанавливающие документы на переводимое помещение (подлинники или засвидетельствованные в нотариальном порядке копии), если право на него не зарегистрировано в Едином государственном реестре недвижимости;</w:t>
      </w:r>
      <w:r>
        <w:rPr>
          <w:sz w:val="28"/>
          <w:szCs w:val="28"/>
        </w:rPr>
      </w:r>
    </w:p>
    <w:p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протокол общего собрания собственников помещений в многоквартирном доме, содержащий решение об их согласии на перевод жилого помещения в нежилое помещение;</w:t>
      </w:r>
      <w:r>
        <w:rPr>
          <w:sz w:val="28"/>
          <w:szCs w:val="28"/>
        </w:rPr>
      </w:r>
    </w:p>
    <w:p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согласие каждого собственника всех помещений, примыкающих</w:t>
      </w:r>
      <w:r>
        <w:rPr>
          <w:rStyle w:val="869"/>
          <w:sz w:val="28"/>
          <w:szCs w:val="28"/>
        </w:rPr>
        <w:footnoteReference w:id="2"/>
      </w:r>
      <w:r>
        <w:rPr>
          <w:sz w:val="28"/>
          <w:szCs w:val="28"/>
        </w:rPr>
        <w:t xml:space="preserve"> к переводимому помещению, на перевод жилого помещения в нежилое помещение;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подготовленный и о</w:t>
      </w:r>
      <w:r>
        <w:rPr>
          <w:sz w:val="28"/>
          <w:szCs w:val="28"/>
        </w:rPr>
        <w:t xml:space="preserve">формленный в установленном порядке проект переустройства и (или) перепланировки переводимого помещения (в случае, если переустройство и (или) перепланировка требуются для обеспечения использования такого помещения в качестве жилого или нежилого помещения);</w:t>
      </w:r>
      <w:r>
        <w:rPr>
          <w:sz w:val="28"/>
          <w:szCs w:val="28"/>
        </w:rPr>
      </w:r>
    </w:p>
    <w:p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качестве документа, подтверждающего полномочия на осуществление действий от имени заявителя, может быть представлена: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доверенность, заверенная нотариально (в случае обращения за получением муниципальной услуги представителя физического лица);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доверенность, подписанная правомочным должностным лицом организации и заверенная печатью (при наличии), либо копия решения о назначении или об избрании </w:t>
      </w:r>
      <w:r>
        <w:rPr>
          <w:rFonts w:ascii="Times New Roman" w:hAnsi="Times New Roman" w:cs="Times New Roman"/>
          <w:sz w:val="28"/>
          <w:szCs w:val="28"/>
        </w:rPr>
        <w:t xml:space="preserve">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2.6.2. Для подготовки акта приемочной коми</w:t>
      </w:r>
      <w:r>
        <w:rPr>
          <w:sz w:val="28"/>
          <w:szCs w:val="28"/>
        </w:rPr>
        <w:t xml:space="preserve">ссии заявитель предоставляет (направляет) заявление о приемке завершенного переустройства, и (или) перепланировки, и (или) иных работ нежилого (жилого) помещения приемочной комиссией по форме согласно приложению 2 к настоящему административному регламенту;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2.6.3. Заявление и прилагаемые документы могут быть представлены следующими способами: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путем личного обращения в Уполномоченный орган или в МФЦ лично либо через своих представителей;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почтовой связи;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по электронной почте.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Единого портала.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2.6.4. </w:t>
      </w:r>
      <w:r>
        <w:rPr>
          <w:sz w:val="28"/>
          <w:szCs w:val="28"/>
        </w:rPr>
        <w:t xml:space="preserve">Заявление в форме электронного документа и прилагаемые документы подписываются электронной подписью заявителя либо представителя заявителя, вид</w:t>
      </w:r>
      <w:r>
        <w:rPr>
          <w:sz w:val="28"/>
          <w:szCs w:val="28"/>
        </w:rPr>
        <w:t xml:space="preserve"> которой определяется в соответствии с Федеральным законом от 6 апреля 2011 года № 63-ФЗ «Об электронной подписи» и статями 21.1 и 21.2 Федерального закона от 27 июля 2010 года № 210-ФЗ «Об организации предоставления государственных и муниципальных услуг».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2.6.5. </w:t>
      </w:r>
      <w:r>
        <w:rPr>
          <w:sz w:val="28"/>
          <w:szCs w:val="28"/>
        </w:rPr>
        <w:t xml:space="preserve">В случае представления документов на бумажном носителе копии документов представляются с предъявлением подлинников либо заверенные печатью </w:t>
      </w:r>
      <w:r>
        <w:rPr>
          <w:sz w:val="28"/>
          <w:szCs w:val="28"/>
        </w:rPr>
        <w:t xml:space="preserve">юридического лица (при наличии) и подписью руководителя, иного должностного лица, уполномоченного на это юридическим лицом, индивидуальным предпринимателем, или его уполномоченного лица. После проведения сверки подлинники документов возвращаются заявителю.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Копия документа, подтверждающего полномочия представителя юридического лица, удостоверяется подписью правомочного должностного лица организации.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Копия документа, подтверждающего полномочия представителя физического лица, заверяется нотариусом.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2.6.6. </w:t>
      </w:r>
      <w:r>
        <w:rPr>
          <w:sz w:val="28"/>
          <w:szCs w:val="28"/>
        </w:rPr>
        <w:t xml:space="preserve"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2.6.7. Заявителю выдается расписка 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</w:t>
      </w:r>
      <w:r>
        <w:rPr>
          <w:rFonts w:eastAsia="Calibri"/>
          <w:sz w:val="28"/>
          <w:szCs w:val="28"/>
        </w:rPr>
        <w:t xml:space="preserve">межведомственным запросам. В случае предоставления документов через МФЦ расписка выдается указанным МФЦ.</w:t>
      </w:r>
      <w:r>
        <w:rPr>
          <w:rFonts w:eastAsia="Calibri"/>
          <w:sz w:val="28"/>
          <w:szCs w:val="28"/>
        </w:rPr>
      </w:r>
    </w:p>
    <w:p>
      <w:pPr>
        <w:pStyle w:val="8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8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8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2.7. Исчерпывающий перечень документов, необходимых в соответстви</w:t>
      </w:r>
      <w:r>
        <w:rPr>
          <w:rFonts w:ascii="Times New Roman" w:hAnsi="Times New Roman" w:cs="Times New Roman"/>
          <w:i/>
          <w:sz w:val="28"/>
          <w:szCs w:val="28"/>
        </w:rPr>
        <w:t xml:space="preserve">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ind w:left="567"/>
        <w:jc w:val="center"/>
        <w:tabs>
          <w:tab w:val="left" w:pos="851" w:leader="none"/>
        </w:tabs>
        <w:rPr>
          <w:sz w:val="28"/>
          <w:szCs w:val="28"/>
        </w:rPr>
        <w:outlineLvl w:val="1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2.7.1. Для перевода помещения заявитель вправе представить (направить):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правоустанавливающие документы на переводимое помещение, если право на него зарегистрировано в Едином государственном реестре недвижимости;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план переводимого помещения с его техническим описанием (в случае, если переводимое помещение является жилым, технический паспорт такого помещения);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поэтажный план дома, в котором находится переводимое помещение.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2.7.2. Документы, указанные в пункте 2.7.1 настоящего административного регламента, могут быть представлены следующими способами: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путем личного обращения в Уполномоченный орган или в МФЦ лично либо через своих представителей;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почтовой связи;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по электронной почте.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посредством Единого портала.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8"/>
          <w:szCs w:val="28"/>
        </w:rPr>
      </w:pPr>
      <w:r>
        <w:rPr>
          <w:sz w:val="28"/>
          <w:szCs w:val="28"/>
        </w:rPr>
        <w:t xml:space="preserve">2.7.3. Докум</w:t>
      </w:r>
      <w:r>
        <w:rPr>
          <w:sz w:val="28"/>
          <w:szCs w:val="28"/>
        </w:rPr>
        <w:t xml:space="preserve">енты, предусмотренные пунктом 2.7.1 настоящего административного регламента (его копия, сведения, содержащиеся в нем), запрашиваются в государственных органах, и (или) подведомственных государственным органам организациях, в распоряжении которых находятся.</w:t>
      </w:r>
      <w:r>
        <w:rPr>
          <w:rFonts w:ascii="Verdana" w:hAnsi="Verdana"/>
          <w:sz w:val="28"/>
          <w:szCs w:val="28"/>
        </w:rPr>
      </w:r>
    </w:p>
    <w:p>
      <w:pPr>
        <w:ind w:firstLine="709"/>
        <w:jc w:val="both"/>
        <w:rPr>
          <w:rFonts w:ascii="Segoe UI" w:hAnsi="Segoe UI" w:cs="Segoe UI"/>
          <w:sz w:val="20"/>
          <w:szCs w:val="20"/>
        </w:rPr>
      </w:pPr>
      <w:r>
        <w:rPr>
          <w:sz w:val="28"/>
          <w:szCs w:val="28"/>
        </w:rPr>
        <w:t xml:space="preserve">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  <w:r>
        <w:rPr>
          <w:rFonts w:ascii="Segoe UI" w:hAnsi="Segoe UI" w:cs="Segoe UI"/>
          <w:sz w:val="20"/>
          <w:szCs w:val="20"/>
        </w:rPr>
      </w:r>
    </w:p>
    <w:p>
      <w:pPr>
        <w:ind w:firstLine="709"/>
        <w:jc w:val="both"/>
        <w:shd w:val="clear" w:color="auto" w:fill="ffffff"/>
        <w:rPr>
          <w:rFonts w:ascii="Segoe UI" w:hAnsi="Segoe UI" w:cs="Segoe UI"/>
          <w:sz w:val="20"/>
          <w:szCs w:val="20"/>
        </w:rPr>
      </w:pPr>
      <w:r>
        <w:rPr>
          <w:sz w:val="28"/>
          <w:szCs w:val="28"/>
        </w:rPr>
        <w:t xml:space="preserve">Копия документов, предусмотренных пунктом 2.7.1 настоящего административного регламента, представленного заявителем в электронной форме, должны быть засвидетельствованы усиленной квалифицированной электронной подписью заявителя.</w:t>
      </w:r>
      <w:r>
        <w:rPr>
          <w:rFonts w:ascii="Segoe UI" w:hAnsi="Segoe UI" w:cs="Segoe UI"/>
          <w:sz w:val="20"/>
          <w:szCs w:val="20"/>
        </w:rPr>
      </w:r>
    </w:p>
    <w:p>
      <w:pPr>
        <w:ind w:firstLine="709"/>
        <w:jc w:val="both"/>
        <w:shd w:val="clear" w:color="auto" w:fill="ffffff"/>
        <w:rPr>
          <w:rFonts w:ascii="Segoe UI" w:hAnsi="Segoe UI" w:cs="Segoe UI"/>
          <w:sz w:val="20"/>
          <w:szCs w:val="20"/>
        </w:rPr>
      </w:pPr>
      <w:r>
        <w:rPr>
          <w:sz w:val="28"/>
          <w:szCs w:val="28"/>
        </w:rPr>
        <w:t xml:space="preserve">2.7.5.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  <w:r>
        <w:rPr>
          <w:rFonts w:ascii="Segoe UI" w:hAnsi="Segoe UI" w:cs="Segoe UI"/>
          <w:sz w:val="20"/>
          <w:szCs w:val="20"/>
        </w:rPr>
      </w:r>
    </w:p>
    <w:p>
      <w:pPr>
        <w:ind w:firstLine="709"/>
        <w:jc w:val="both"/>
        <w:shd w:val="clear" w:color="auto" w:fill="ffffff"/>
        <w:rPr>
          <w:rFonts w:ascii="Segoe UI" w:hAnsi="Segoe UI" w:cs="Segoe UI"/>
          <w:sz w:val="20"/>
          <w:szCs w:val="20"/>
        </w:rPr>
      </w:pPr>
      <w:r>
        <w:rPr>
          <w:sz w:val="28"/>
          <w:szCs w:val="28"/>
        </w:rPr>
        <w:t xml:space="preserve"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  <w:r>
        <w:rPr>
          <w:rFonts w:ascii="Segoe UI" w:hAnsi="Segoe UI" w:cs="Segoe UI"/>
          <w:sz w:val="20"/>
          <w:szCs w:val="20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2.7.6. Запрещено требовать от заявителя: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>
        <w:rPr>
          <w:bCs/>
          <w:iCs/>
          <w:sz w:val="28"/>
          <w:szCs w:val="28"/>
        </w:rPr>
        <w:t xml:space="preserve">муниципаль</w:t>
      </w:r>
      <w:r>
        <w:rPr>
          <w:sz w:val="28"/>
          <w:szCs w:val="28"/>
        </w:rPr>
        <w:t xml:space="preserve">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информации, которые находятся в </w:t>
      </w:r>
      <w:r>
        <w:rPr>
          <w:sz w:val="28"/>
          <w:szCs w:val="28"/>
        </w:rPr>
        <w:t xml:space="preserve">распоряжении Уполномоченного органа, 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</w:t>
      </w:r>
      <w:hyperlink r:id="rId12" w:tooltip="https://login.consultant.ru/link/?rnd=9083CD400C588EB41694BA827D5E85FE&amp;req=doc&amp;base=LAW&amp;n=303658&amp;dst=290&amp;fld=134&amp;date=17.03.2019" w:history="1">
        <w:r>
          <w:rPr>
            <w:rStyle w:val="866"/>
            <w:color w:val="000000"/>
            <w:sz w:val="28"/>
            <w:szCs w:val="28"/>
          </w:rPr>
          <w:t xml:space="preserve">пунктом 4 части 1 статьи 7</w:t>
        </w:r>
      </w:hyperlink>
      <w:r>
        <w:rPr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/>
          <w:i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</w:t>
      </w:r>
      <w:r>
        <w:rPr>
          <w:rFonts w:ascii="Times New Roman" w:hAnsi="Times New Roman"/>
          <w:sz w:val="28"/>
          <w:szCs w:val="28"/>
        </w:rPr>
        <w:t xml:space="preserve">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r>
        <w:rPr>
          <w:rFonts w:ascii="Times New Roman" w:hAnsi="Times New Roman"/>
          <w:i/>
          <w:sz w:val="28"/>
          <w:szCs w:val="28"/>
          <w:shd w:val="clear" w:color="auto" w:fill="ffffff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2.8. Исчерпывающий перечень оснований для отказа в приеме документов, необходимых для предоставления муниципальной услуги</w:t>
      </w:r>
      <w:r>
        <w:rPr>
          <w:i/>
          <w:iCs/>
          <w:lang w:val="ru-RU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Оснований для отказа в приеме заявления и прилагаемых к нему документов, необходимых для предоставления муниципальной услуги, не имеется.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2.9. Исчерпывающий перечень оснований для приостановления или отказа в предоставлении муниципальной услуги</w:t>
      </w:r>
      <w:r>
        <w:rPr>
          <w:i/>
          <w:iCs/>
          <w:lang w:val="ru-RU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13" w:tooltip="consultantplus://offline/ref=6516297AE893B6B7391D086B5E884F35F1831BBEB36328ED641890D3839C58CDA48DB4BE9CEA3D0Fn4e0Q" w:history="1">
        <w:r>
          <w:rPr>
            <w:sz w:val="28"/>
            <w:szCs w:val="28"/>
          </w:rPr>
          <w:t xml:space="preserve">статьей 11</w:t>
        </w:r>
      </w:hyperlink>
      <w:r>
        <w:rPr>
          <w:sz w:val="28"/>
          <w:szCs w:val="28"/>
        </w:rPr>
        <w:t xml:space="preserve"> Федерального закона от 6 ап</w:t>
      </w:r>
      <w:r>
        <w:rPr>
          <w:sz w:val="28"/>
          <w:szCs w:val="28"/>
        </w:rPr>
        <w:t xml:space="preserve">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2.9.2.</w:t>
      </w:r>
      <w:r>
        <w:rPr>
          <w:spacing w:val="-4"/>
          <w:sz w:val="28"/>
          <w:szCs w:val="28"/>
        </w:rPr>
        <w:t xml:space="preserve"> Основаниями для отказа в</w:t>
      </w:r>
      <w:r>
        <w:rPr>
          <w:sz w:val="28"/>
          <w:szCs w:val="28"/>
        </w:rPr>
        <w:t xml:space="preserve"> переводе помещения являются: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отсутствие документов, указанных в пункте 2.6 настоящего административного регламента документов, обязанность по представлению которых возложена на заявителя;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поступление в орган, осуществляющий перевод помещений, ответа органа государственной власти,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запрос, </w:t>
      </w:r>
      <w:r>
        <w:rPr>
          <w:sz w:val="28"/>
          <w:szCs w:val="28"/>
        </w:rPr>
        <w:t xml:space="preserve">свидетельствующего об отсутствии документа и (или) информации, </w:t>
      </w:r>
      <w:r>
        <w:rPr>
          <w:sz w:val="28"/>
          <w:szCs w:val="28"/>
        </w:rPr>
        <w:t xml:space="preserve">необходимых для перевода жилого помещения в нежилое помещение или нежилого помещения в жилое помещение в соответствии с пунктом 2.6 настоящего административного регламента, если соответствующий документ не представлен заявителем по собственной инициативе;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Отказ в переводе помещения по указанному основани</w:t>
      </w:r>
      <w:r>
        <w:rPr>
          <w:sz w:val="28"/>
          <w:szCs w:val="28"/>
        </w:rPr>
        <w:t xml:space="preserve">ю допускается в случае, если Уполномоченный орган, осуществляющий перевод помещений, после получения указанного ответа уведомил заявителя о получении такого ответа, предложил заявителю представить документ и (или) информацию, необходимые для перевода жилог</w:t>
      </w:r>
      <w:r>
        <w:rPr>
          <w:sz w:val="28"/>
          <w:szCs w:val="28"/>
        </w:rPr>
        <w:t xml:space="preserve">о помещения в нежилое помещение или нежилого помещения в жилое помещение в соответствии с частью 2 статьи 23 Жилищного кодекса РФ, и не получил от заявителя такие документ и (или) информацию в течение пятнадцати рабочих дней со дня направления уведомления;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представление документов в ненадлежащий орган;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несоблюдение предусмотренных </w:t>
      </w:r>
      <w:hyperlink r:id="rId14" w:tooltip="consultantplus://offline/ref=5D3CD591C1E3272F388E3F714A90A657636CEC352345BA8B8701D63D89249EFF914D7E96435F87BCXCH8L" w:history="1">
        <w:r>
          <w:rPr>
            <w:sz w:val="28"/>
            <w:szCs w:val="28"/>
          </w:rPr>
          <w:t xml:space="preserve">статьей 22</w:t>
        </w:r>
      </w:hyperlink>
      <w:r>
        <w:rPr>
          <w:sz w:val="28"/>
          <w:szCs w:val="28"/>
        </w:rPr>
        <w:t xml:space="preserve"> Жилищного кодекса Российской Федерации условий перевода помещения;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несоответствие проекта переустройства и (или) перепланировки помещения </w:t>
      </w:r>
      <w:r>
        <w:rPr>
          <w:sz w:val="28"/>
          <w:szCs w:val="28"/>
        </w:rPr>
        <w:br w:type="textWrapping" w:clear="all"/>
        <w:t xml:space="preserve">в многоквартирном доме требованиям законодательства.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2.9.3. Решение об отказе в переводе помещения должно содержать основания отказа с обязательной ссылкой на нарушения, предусмотренные частью 1 статьи 24 Жилищного кодекса Российской Федерации.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2.9.4. Решение об отказе в переводе помещения выдается или направляется заявителю не позднее чем через три рабочих дня со дня принятия такого решения и может быть обжаловано заявителем в судебном порядке.</w:t>
      </w:r>
      <w:r>
        <w:rPr>
          <w:sz w:val="28"/>
          <w:szCs w:val="28"/>
        </w:rPr>
      </w:r>
    </w:p>
    <w:p>
      <w:pPr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  <w:r>
        <w:rPr>
          <w:bCs/>
          <w:sz w:val="28"/>
          <w:szCs w:val="28"/>
        </w:rPr>
      </w:r>
    </w:p>
    <w:p>
      <w:pPr>
        <w:pStyle w:val="933"/>
        <w:ind w:left="0"/>
        <w:jc w:val="center"/>
        <w:spacing w:after="0"/>
        <w:rPr>
          <w:i/>
          <w:iCs/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 xml:space="preserve"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  <w:r>
        <w:rPr>
          <w:i/>
          <w:iCs/>
          <w:sz w:val="28"/>
          <w:szCs w:val="28"/>
          <w:lang w:val="ru-RU"/>
        </w:rPr>
      </w:r>
    </w:p>
    <w:p>
      <w:pPr>
        <w:ind w:firstLine="54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услугам, которые являются необходимыми и обязательными для предоставления муниципальной услуги, относится: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выдача проекта переустройства и (или) перепланировки переводимого помещения (в случае, если переустройство и (или) перепланировка требуются для обеспечения использования такого помещения в качестве жилого или нежилого помещения).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Наименование услуги указывается в соответствии с муниципальным правовым актом, утверждающим перечень услуг, которые являются необходимыми и обязательными для предоставления муниципальных услуг.</w:t>
      </w:r>
      <w:r>
        <w:rPr>
          <w:sz w:val="28"/>
          <w:szCs w:val="28"/>
        </w:rPr>
      </w:r>
    </w:p>
    <w:p>
      <w:pPr>
        <w:pStyle w:val="702"/>
        <w:ind w:firstLine="540"/>
        <w:spacing w:before="0"/>
        <w:rPr>
          <w:iCs/>
          <w:lang w:val="ru-RU"/>
        </w:rPr>
      </w:pPr>
      <w:r>
        <w:rPr>
          <w:iCs/>
          <w:lang w:val="ru-RU"/>
        </w:rPr>
      </w:r>
      <w:r>
        <w:rPr>
          <w:iCs/>
          <w:lang w:val="ru-RU"/>
        </w:rPr>
      </w:r>
    </w:p>
    <w:p>
      <w:pPr>
        <w:pStyle w:val="889"/>
        <w:ind w:firstLine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2.11. Размер платы, взимаемой с заявителя при предоставлении м</w:t>
      </w:r>
      <w:r>
        <w:rPr>
          <w:i/>
          <w:sz w:val="28"/>
          <w:szCs w:val="28"/>
        </w:rPr>
        <w:t xml:space="preserve">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  <w:r>
        <w:rPr>
          <w:i/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Предоставление муниципальной услуги осуществляется на безвозмездной основе.</w:t>
      </w:r>
      <w:r>
        <w:rPr>
          <w:sz w:val="28"/>
          <w:szCs w:val="28"/>
        </w:rPr>
      </w:r>
    </w:p>
    <w:p>
      <w:pPr>
        <w:pStyle w:val="702"/>
        <w:ind w:firstLine="540"/>
        <w:spacing w:before="0"/>
        <w:rPr>
          <w:i/>
          <w:iCs/>
          <w:lang w:val="ru-RU"/>
        </w:rPr>
      </w:pPr>
      <w:r>
        <w:rPr>
          <w:i/>
          <w:iCs/>
          <w:lang w:val="ru-RU"/>
        </w:rPr>
      </w:r>
      <w:r>
        <w:rPr>
          <w:i/>
          <w:iCs/>
          <w:lang w:val="ru-RU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</w:r>
      <w:r>
        <w:rPr>
          <w:i/>
          <w:iCs/>
          <w:lang w:val="ru-RU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  <w:r>
        <w:rPr>
          <w:i/>
          <w:iCs/>
          <w:lang w:val="ru-RU"/>
        </w:rPr>
      </w:r>
    </w:p>
    <w:p>
      <w:pPr>
        <w:pStyle w:val="900"/>
        <w:ind w:firstLine="709"/>
        <w:jc w:val="both"/>
        <w:spacing w:after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900"/>
        <w:ind w:firstLine="709"/>
        <w:jc w:val="both"/>
        <w:spacing w:after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Максимальный срок ожидания в очереди при подаче уведомления и (или) при получении результата не должен превышать 15 минут.</w:t>
      </w:r>
      <w:r>
        <w:rPr>
          <w:sz w:val="28"/>
          <w:szCs w:val="28"/>
          <w:lang w:val="ru-RU"/>
        </w:rPr>
      </w:r>
    </w:p>
    <w:p>
      <w:pPr>
        <w:pStyle w:val="900"/>
        <w:ind w:firstLine="709"/>
        <w:jc w:val="both"/>
        <w:spacing w:after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</w:r>
      <w:r>
        <w:rPr>
          <w:sz w:val="28"/>
          <w:szCs w:val="28"/>
          <w:lang w:val="ru-RU"/>
        </w:rPr>
      </w:r>
    </w:p>
    <w:p>
      <w:pPr>
        <w:pStyle w:val="884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2.13. Срок регистрации запроса заявителя</w:t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pStyle w:val="884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о предоставлении муниципальной услуги, в том числе в электронной форме</w:t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Регистрация уведомления</w:t>
      </w:r>
      <w:r>
        <w:rPr>
          <w:rFonts w:eastAsia="Calibri"/>
          <w:sz w:val="28"/>
          <w:szCs w:val="28"/>
        </w:rPr>
        <w:t xml:space="preserve">, в том числе в электронной форме осуществляется</w:t>
      </w:r>
      <w:r>
        <w:rPr>
          <w:sz w:val="28"/>
          <w:szCs w:val="28"/>
        </w:rPr>
        <w:t xml:space="preserve">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случае ес</w:t>
      </w:r>
      <w:r>
        <w:rPr>
          <w:rFonts w:ascii="Times New Roman" w:hAnsi="Times New Roman" w:cs="Times New Roman"/>
          <w:sz w:val="28"/>
          <w:szCs w:val="28"/>
        </w:rPr>
        <w:t xml:space="preserve">ли заявитель направил заявление о предоставлении муниципальной услуги в электронном виде, то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квалифицированной электронной подп</w:t>
      </w:r>
      <w:r>
        <w:rPr>
          <w:rFonts w:ascii="Times New Roman" w:hAnsi="Times New Roman" w:cs="Times New Roman"/>
          <w:sz w:val="28"/>
          <w:szCs w:val="28"/>
        </w:rPr>
        <w:t xml:space="preserve">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</w:t>
      </w:r>
      <w:r>
        <w:rPr>
          <w:rFonts w:ascii="Times New Roman" w:hAnsi="Times New Roman" w:cs="Times New Roman"/>
          <w:sz w:val="28"/>
          <w:szCs w:val="28"/>
        </w:rPr>
        <w:t xml:space="preserve">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  <w:r>
        <w:rPr>
          <w:rStyle w:val="869"/>
          <w:sz w:val="28"/>
          <w:szCs w:val="28"/>
        </w:rPr>
        <w:footnoteReference w:id="3"/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84"/>
        <w:ind w:firstLine="0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2.14. 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</w:t>
      </w:r>
      <w:r>
        <w:rPr>
          <w:rFonts w:ascii="Times New Roman" w:hAnsi="Times New Roman"/>
          <w:i/>
          <w:sz w:val="28"/>
          <w:szCs w:val="28"/>
        </w:rPr>
        <w:t xml:space="preserve">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r>
        <w:rPr>
          <w:rFonts w:ascii="Times New Roman" w:hAnsi="Times New Roman"/>
          <w:i/>
          <w:sz w:val="28"/>
          <w:szCs w:val="28"/>
        </w:rPr>
      </w:r>
    </w:p>
    <w:p>
      <w:pPr>
        <w:pStyle w:val="8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</w:r>
      <w:r>
        <w:rPr>
          <w:rFonts w:ascii="Times New Roman" w:hAnsi="Times New Roman" w:cs="Times New Roman"/>
          <w:i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2.14.2. Гражданам, относящимся к категории инвалидов, включая инвалидов, использующих кресла-коляски и собак-проводников, обеспечиваются: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</w:t>
      </w:r>
      <w:r>
        <w:rPr>
          <w:sz w:val="28"/>
          <w:szCs w:val="28"/>
        </w:rPr>
        <w:t xml:space="preserve"> в том числе дублирование необходимой для предоставления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утвержденных </w:t>
      </w:r>
      <w:r>
        <w:rPr>
          <w:sz w:val="28"/>
          <w:szCs w:val="28"/>
        </w:rPr>
        <w:t xml:space="preserve">приказом</w:t>
      </w:r>
      <w:r>
        <w:rPr>
          <w:sz w:val="28"/>
          <w:szCs w:val="28"/>
        </w:rPr>
        <w:t xml:space="preserve"> Министерства труда и социальной защиты Российской Федерации от 22 июня 2015 года № 386н;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оказание помощи, необходимой для пол</w:t>
      </w:r>
      <w:r>
        <w:rPr>
          <w:sz w:val="28"/>
          <w:szCs w:val="28"/>
        </w:rPr>
        <w:t xml:space="preserve">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</w:t>
      </w:r>
      <w:r>
        <w:rPr>
          <w:sz w:val="28"/>
          <w:szCs w:val="28"/>
        </w:rPr>
        <w:t xml:space="preserve">сурдопереводчика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тифлосурдопереводчика</w:t>
      </w:r>
      <w:r>
        <w:rPr>
          <w:sz w:val="28"/>
          <w:szCs w:val="28"/>
        </w:rPr>
        <w:t xml:space="preserve">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2.14.3. На те</w:t>
      </w:r>
      <w:r>
        <w:rPr>
          <w:sz w:val="28"/>
          <w:szCs w:val="28"/>
        </w:rPr>
        <w:t xml:space="preserve">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помещениях Уполномоченного органа на видном месте устанавливаются схемы размещения средств пожаротушения и путей эвакуации.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Места информирования, предназна</w:t>
      </w:r>
      <w:r>
        <w:rPr>
          <w:sz w:val="28"/>
          <w:szCs w:val="28"/>
        </w:rPr>
        <w:t xml:space="preserve">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Административный регламент, муниципальный правовой акт о его утверждении должны быть доступны для ознакомления на бумажных носителях.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Кабинеты, в которых осуществ</w:t>
      </w:r>
      <w:r>
        <w:rPr>
          <w:sz w:val="28"/>
          <w:szCs w:val="28"/>
        </w:rPr>
        <w:t xml:space="preserve">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  <w:r>
        <w:rPr>
          <w:sz w:val="28"/>
          <w:szCs w:val="28"/>
        </w:rPr>
      </w:r>
    </w:p>
    <w:p>
      <w:pPr>
        <w:pStyle w:val="702"/>
        <w:spacing w:before="0"/>
        <w:rPr>
          <w:b/>
          <w:i/>
          <w:iCs/>
          <w:lang w:val="ru-RU"/>
        </w:rPr>
      </w:pPr>
      <w:r>
        <w:rPr>
          <w:b/>
          <w:i/>
          <w:iCs/>
          <w:lang w:val="ru-RU"/>
        </w:rPr>
      </w:r>
      <w:r>
        <w:rPr>
          <w:b/>
          <w:i/>
          <w:iCs/>
          <w:lang w:val="ru-RU"/>
        </w:rPr>
      </w:r>
    </w:p>
    <w:p>
      <w:pPr>
        <w:pStyle w:val="702"/>
        <w:spacing w:before="0"/>
        <w:rPr>
          <w:i/>
          <w:iCs/>
          <w:lang w:val="ru-RU"/>
        </w:rPr>
      </w:pPr>
      <w:r>
        <w:rPr>
          <w:i/>
          <w:iCs/>
          <w:lang w:val="ru-RU"/>
        </w:rPr>
        <w:t xml:space="preserve">2.15. Показатели доступности и качества муниципальной услуги</w:t>
      </w:r>
      <w:r>
        <w:rPr>
          <w:i/>
          <w:iCs/>
          <w:lang w:val="ru-RU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2.15.1. Показателями доступности муниципальной услуги являются: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информирование заявителей о предоставлении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оборудование помещений Уполномоченного органа местами хранения верхней одежды заявителей, местами общего пользования;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соблюдение графика работы Уполномоченного органа;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время, затраченное на получение конечного результата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2.15.2. Показателями качества муниципальной услуги являются: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количество взаимодействий заявителя с должностными лицами при предоставлении муниципальной услуги и их продолжительность.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соблюдение сроков и последовательности выполнения всех административных процедур, предусмотренных административным регламентом;</w:t>
      </w:r>
      <w:r>
        <w:rPr>
          <w:sz w:val="28"/>
          <w:szCs w:val="28"/>
        </w:rPr>
      </w:r>
    </w:p>
    <w:p>
      <w:pPr>
        <w:pStyle w:val="702"/>
        <w:ind w:firstLine="709"/>
        <w:jc w:val="both"/>
        <w:spacing w:before="0"/>
        <w:rPr>
          <w:lang w:val="ru-RU"/>
        </w:rPr>
      </w:pPr>
      <w:r>
        <w:rPr>
          <w:lang w:val="ru-RU"/>
        </w:rPr>
        <w:t xml:space="preserve"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</w:t>
      </w:r>
      <w:r>
        <w:rPr>
          <w:lang w:val="ru-RU"/>
        </w:rPr>
        <w:t xml:space="preserve">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  <w:r>
        <w:rPr>
          <w:lang w:val="ru-RU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i/>
          <w:sz w:val="28"/>
          <w:szCs w:val="28"/>
        </w:rPr>
        <w:outlineLvl w:val="0"/>
      </w:pPr>
      <w:r>
        <w:rPr>
          <w:i/>
          <w:sz w:val="28"/>
          <w:szCs w:val="28"/>
        </w:rPr>
        <w:t xml:space="preserve">2.16. Перечень классов средств электронной подписи, которые</w:t>
      </w:r>
      <w:r>
        <w:rPr>
          <w:i/>
          <w:sz w:val="28"/>
          <w:szCs w:val="28"/>
        </w:rPr>
      </w:r>
    </w:p>
    <w:p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допускаются к использованию при обращении за получением</w:t>
      </w:r>
      <w:r>
        <w:rPr>
          <w:i/>
          <w:sz w:val="28"/>
          <w:szCs w:val="28"/>
        </w:rPr>
      </w:r>
    </w:p>
    <w:p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муниципальной услуги, оказываемой с применением</w:t>
      </w:r>
      <w:r>
        <w:rPr>
          <w:i/>
          <w:sz w:val="28"/>
          <w:szCs w:val="28"/>
        </w:rPr>
      </w:r>
    </w:p>
    <w:p>
      <w:pPr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усиленной квалифицированной электронной подписи</w:t>
      </w:r>
      <w:r>
        <w:rPr>
          <w:i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учетом </w:t>
      </w:r>
      <w:hyperlink r:id="rId15" w:tooltip="consultantplus://offline/ref=9DFCD0BC58F1901188C452263C0976EC7682B8277B42784B22C3A2DEC2AABDAEC9F86746227977ABeCmEQ" w:history="1">
        <w:r>
          <w:rPr>
            <w:sz w:val="28"/>
            <w:szCs w:val="28"/>
          </w:rPr>
          <w:t xml:space="preserve">Требований</w:t>
        </w:r>
      </w:hyperlink>
      <w:r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</w:t>
      </w:r>
      <w:r>
        <w:rPr>
          <w:sz w:val="28"/>
          <w:szCs w:val="28"/>
        </w:rPr>
        <w:t xml:space="preserve">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  <w:r>
        <w:rPr>
          <w:sz w:val="28"/>
          <w:szCs w:val="28"/>
        </w:rPr>
      </w:r>
    </w:p>
    <w:p>
      <w:pPr>
        <w:ind w:firstLine="540"/>
        <w:jc w:val="both"/>
        <w:tabs>
          <w:tab w:val="left" w:pos="900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  <w:outlineLvl w:val="1"/>
      </w:pPr>
      <w:r>
        <w:rPr>
          <w:sz w:val="28"/>
          <w:szCs w:val="28"/>
        </w:rPr>
        <w:t xml:space="preserve">II</w:t>
      </w:r>
      <w:r>
        <w:rPr>
          <w:sz w:val="28"/>
          <w:szCs w:val="28"/>
        </w:rPr>
        <w:t xml:space="preserve">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  <w:outlineLvl w:val="2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  <w:outlineLvl w:val="2"/>
      </w:pPr>
      <w:r>
        <w:rPr>
          <w:sz w:val="28"/>
          <w:szCs w:val="28"/>
        </w:rPr>
        <w:t xml:space="preserve">3.1. Исчерпывающий перечень административных процедур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3.1.1. Предоставление муниципальной услуги включает в себя: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  <w:outlineLvl w:val="0"/>
      </w:pPr>
      <w:r>
        <w:rPr>
          <w:sz w:val="28"/>
          <w:szCs w:val="28"/>
        </w:rPr>
        <w:t xml:space="preserve">принятие решения о переводе (об отказе в переводе) помещения;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  <w:outlineLvl w:val="0"/>
      </w:pPr>
      <w:r>
        <w:rPr>
          <w:sz w:val="28"/>
          <w:szCs w:val="28"/>
          <w:shd w:val="clear" w:color="auto" w:fill="ffffff"/>
        </w:rPr>
        <w:t xml:space="preserve">подготовка акта приемочной комиссии, подтверждающего завершение переустройства, и (или) перепланировки</w:t>
      </w:r>
      <w:r>
        <w:rPr>
          <w:sz w:val="28"/>
          <w:szCs w:val="28"/>
        </w:rPr>
        <w:t xml:space="preserve"> и (или) иных работ</w:t>
      </w:r>
      <w:r>
        <w:rPr>
          <w:sz w:val="28"/>
          <w:szCs w:val="28"/>
          <w:shd w:val="clear" w:color="auto" w:fill="ffffff"/>
        </w:rPr>
        <w:t xml:space="preserve">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  <w:outlineLvl w:val="0"/>
      </w:pPr>
      <w:r>
        <w:rPr>
          <w:sz w:val="28"/>
          <w:szCs w:val="28"/>
        </w:rPr>
        <w:t xml:space="preserve">3.1.2. Принятие решения о переводе (об отказе в переводе) помещения включает в себя выполнение следующих административных процедур: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прием и регистрация заявления и прилагаемых документов;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2) рассмотрение заявления и прилагаемых документов, необходимых для предоставления муниципальной услуги, принятие решения о переводе (об отказе в переводе) помещения;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направление (вручение) заявителю уведомления о переводе (отказе в переводе)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  <w:outlineLvl w:val="0"/>
      </w:pPr>
      <w:r>
        <w:rPr>
          <w:sz w:val="28"/>
          <w:szCs w:val="28"/>
        </w:rPr>
        <w:t xml:space="preserve">3.1.3. </w:t>
      </w:r>
      <w:r>
        <w:rPr>
          <w:sz w:val="28"/>
          <w:szCs w:val="28"/>
          <w:shd w:val="clear" w:color="auto" w:fill="ffffff"/>
        </w:rPr>
        <w:t xml:space="preserve">Подготовка акта приемочной комиссии, подтверждающего завершение переустройства, и (или) перепланировки, и (или) иных работ включает в себя </w:t>
      </w:r>
      <w:r>
        <w:rPr>
          <w:sz w:val="28"/>
          <w:szCs w:val="28"/>
        </w:rPr>
        <w:t xml:space="preserve">выполнение следующих административных процедур: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1) прием и регистрация заявления о приемке завершенного переустройства, и (или) перепланировки, и (или) иных работ;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рассмотрение заявления, оформление акта приемочной комиссии, подтверждающего завершение переустройства и (или) перепланировки, и (или) иных работ;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3) направление (вручение) заявителю утвержде</w:t>
      </w:r>
      <w:r>
        <w:rPr>
          <w:sz w:val="28"/>
          <w:szCs w:val="28"/>
        </w:rPr>
        <w:t xml:space="preserve">нного акта приемочной комиссии, направление акта приемочной комиссии в территориальный орган федерального органа исполнительной власти, уполномоченного Правительством Российской Федерации на осуществление государственного кадастрового учета, государственно</w:t>
      </w:r>
      <w:r>
        <w:rPr>
          <w:sz w:val="28"/>
          <w:szCs w:val="28"/>
        </w:rPr>
        <w:t xml:space="preserve">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либо направление (вручение) заявителю отказа в переводе помещения с мотивированным объяснением.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3.1.4. Блок-схема предоставления муниципальной услуги приведена в приложении 3 к настоящему административному регламенту.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Принятие решения о переводе (об отказе в переводе) жилого помещения в нежилое или нежилого помещения в жилое помещение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3.2. Прием и регистрация заявления и прилагаемых документов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right="-2" w:firstLine="709"/>
        <w:jc w:val="both"/>
        <w:rPr>
          <w:sz w:val="28"/>
          <w:szCs w:val="28"/>
        </w:rPr>
      </w:pPr>
      <w:r>
        <w:rPr>
          <w:sz w:val="28"/>
        </w:rPr>
        <w:t xml:space="preserve">3.2.1. </w:t>
      </w:r>
      <w:r>
        <w:rPr>
          <w:sz w:val="28"/>
          <w:szCs w:val="28"/>
        </w:rPr>
        <w:t xml:space="preserve">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widowControl/>
        <w:tabs>
          <w:tab w:val="num" w:pos="1288" w:leader="none"/>
          <w:tab w:val="left" w:pos="156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</w:t>
      </w:r>
      <w:r>
        <w:rPr>
          <w:rFonts w:ascii="Times New Roman" w:hAnsi="Times New Roman" w:cs="Times New Roman"/>
          <w:sz w:val="28"/>
          <w:szCs w:val="28"/>
        </w:rPr>
        <w:t xml:space="preserve">2.2.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осуществляет регистрацию заявления и прилагаемых документов в журнале регистрации входящих обращений;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выдает расписку </w:t>
      </w:r>
      <w:r>
        <w:rPr>
          <w:rFonts w:eastAsia="Calibri"/>
          <w:sz w:val="28"/>
          <w:szCs w:val="28"/>
        </w:rPr>
        <w:t xml:space="preserve">в получении от заявителя документов с указанием их перечня и даты их получения Уполномоченным органом</w:t>
      </w:r>
      <w:r>
        <w:rPr>
          <w:sz w:val="28"/>
          <w:szCs w:val="28"/>
        </w:rPr>
        <w:t xml:space="preserve">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3.2.3. В случае е</w:t>
      </w:r>
      <w:r>
        <w:rPr>
          <w:rFonts w:eastAsia="Calibri"/>
          <w:sz w:val="28"/>
          <w:szCs w:val="28"/>
        </w:rPr>
        <w:t xml:space="preserve">сли заявление и прилагаемые документы представляются заявителем  в Уполномоченный орган лично, </w:t>
      </w:r>
      <w:r>
        <w:rPr>
          <w:sz w:val="28"/>
          <w:szCs w:val="28"/>
        </w:rPr>
        <w:t xml:space="preserve">должностное лицо Уполномоченного органа, ответственное за прием и регистрацию заявления </w:t>
      </w:r>
      <w:r>
        <w:rPr>
          <w:rFonts w:eastAsia="Calibri"/>
          <w:sz w:val="28"/>
          <w:szCs w:val="28"/>
        </w:rPr>
        <w:t xml:space="preserve"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</w:pPr>
      <w:r>
        <w:rPr>
          <w:rFonts w:eastAsia="Calibri"/>
          <w:sz w:val="28"/>
          <w:szCs w:val="28"/>
        </w:rPr>
        <w:t xml:space="preserve">В случае</w:t>
      </w:r>
      <w:r>
        <w:rPr>
          <w:rFonts w:eastAsia="Calibri"/>
          <w:sz w:val="28"/>
          <w:szCs w:val="28"/>
        </w:rPr>
        <w:t xml:space="preserve">,</w:t>
      </w:r>
      <w:r>
        <w:rPr>
          <w:rFonts w:eastAsia="Calibri"/>
          <w:sz w:val="28"/>
          <w:szCs w:val="28"/>
        </w:rPr>
        <w:t xml:space="preserve"> если</w:t>
      </w:r>
      <w:r>
        <w:rPr>
          <w:rFonts w:eastAsia="Calibri"/>
          <w:sz w:val="28"/>
          <w:szCs w:val="28"/>
        </w:rPr>
        <w:t xml:space="preserve"> заявление и прилагаемые документы представлены в Уполномоченный орган посредством почтового отправления или представлены заявителем (представителем заявителя)  лично через МФЦ, расписка в получении таких заявления и документов направляется Уполномоченным </w:t>
      </w:r>
      <w:r>
        <w:rPr>
          <w:rFonts w:eastAsia="Calibri"/>
          <w:sz w:val="28"/>
          <w:szCs w:val="28"/>
        </w:rPr>
        <w:t xml:space="preserve">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  <w:r/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</w:t>
      </w:r>
      <w:r>
        <w:rPr>
          <w:rFonts w:eastAsia="Calibri"/>
          <w:sz w:val="28"/>
          <w:szCs w:val="28"/>
        </w:rPr>
        <w:t xml:space="preserve">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3.2.4. После реги</w:t>
      </w:r>
      <w:r>
        <w:rPr>
          <w:sz w:val="28"/>
          <w:szCs w:val="28"/>
        </w:rPr>
        <w:t xml:space="preserve">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3.2.5. Срок выполнения данной административной процедуры составляет 1 рабочий день со дня поступления </w:t>
      </w:r>
      <w:hyperlink w:tooltip="                                 ЗАЯВЛЕНИЕ" w:anchor="Par428" w:history="1">
        <w:r>
          <w:rPr>
            <w:rFonts w:ascii="Times New Roman" w:hAnsi="Times New Roman" w:cs="Times New Roman"/>
            <w:sz w:val="28"/>
            <w:szCs w:val="28"/>
          </w:rPr>
          <w:t xml:space="preserve">заявления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jc w:val="center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3.3. Рассмотрение заявления и прилагаемых документов, необходимых для предоставления муниципальной услуги, принятие решения о переводе (об отказе в переводе) помещения</w:t>
      </w:r>
      <w:r>
        <w:rPr>
          <w:sz w:val="28"/>
          <w:szCs w:val="28"/>
        </w:rPr>
      </w:r>
    </w:p>
    <w:p>
      <w:pPr>
        <w:ind w:firstLine="567"/>
        <w:jc w:val="both"/>
        <w:rPr>
          <w:sz w:val="28"/>
          <w:szCs w:val="28"/>
        </w:rPr>
        <w:outlineLvl w:val="1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3.3.1. Юридическим фактом, являющимся основанием для начала выполнения административной процедуры является, получение заявления и прилагаемых документов должностным лицом, ответственным за предоставление муниципальной услуги на рассмотрение.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3.3.2. В случае поступления </w:t>
      </w:r>
      <w:hyperlink w:tooltip="                                 ЗАЯВЛЕНИЕ" w:anchor="Par428" w:history="1">
        <w:r>
          <w:rPr>
            <w:rFonts w:ascii="Times New Roman" w:hAnsi="Times New Roman" w:cs="Times New Roman"/>
            <w:sz w:val="28"/>
            <w:szCs w:val="28"/>
          </w:rPr>
          <w:t xml:space="preserve">заявления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прилагаемых документов в электронной форме до</w:t>
      </w:r>
      <w:r>
        <w:rPr>
          <w:rFonts w:ascii="Times New Roman" w:hAnsi="Times New Roman" w:cs="Times New Roman"/>
          <w:sz w:val="28"/>
          <w:szCs w:val="28"/>
        </w:rPr>
        <w:t xml:space="preserve">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</w:t>
      </w:r>
      <w:r>
        <w:rPr>
          <w:rFonts w:ascii="Times New Roman" w:hAnsi="Times New Roman" w:cs="Times New Roman"/>
          <w:sz w:val="28"/>
          <w:szCs w:val="28"/>
        </w:rPr>
        <w:t xml:space="preserve">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</w:t>
      </w:r>
      <w:r>
        <w:rPr>
          <w:rFonts w:ascii="Times New Roman" w:hAnsi="Times New Roman" w:cs="Times New Roman"/>
          <w:sz w:val="28"/>
          <w:szCs w:val="28"/>
        </w:rPr>
        <w:t xml:space="preserve">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3.3.3. Если в случа</w:t>
      </w:r>
      <w:r>
        <w:rPr>
          <w:rFonts w:ascii="Times New Roman" w:hAnsi="Times New Roman" w:cs="Times New Roman"/>
          <w:sz w:val="28"/>
          <w:szCs w:val="28"/>
        </w:rPr>
        <w:t xml:space="preserve">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3.3.4. В случае если заявитель по своему усмотрению не представил д</w:t>
      </w:r>
      <w:r>
        <w:rPr>
          <w:sz w:val="28"/>
          <w:szCs w:val="28"/>
        </w:rPr>
        <w:t xml:space="preserve">окументы, указанные в пункте 2.7.1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</w:t>
      </w:r>
      <w:r>
        <w:rPr>
          <w:sz w:val="28"/>
          <w:szCs w:val="28"/>
        </w:rPr>
        <w:t xml:space="preserve">е условий признания ее действительности), должностное лицо, ответственное за предоставление муниципальной услуги, в течение 5 рабочих дней со дня получения заявления и прилагаемых документов обеспечивает направление межведомственных запросов для получения: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сведений из Единого государственного реестра недвижимости;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плана переводимого помещения с его техническим описанием (в случае, если переводимое помещение является жилым, технический паспорт такого помещения);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поэтажного плана дома, в котором находится переводимое помещение.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поступл</w:t>
      </w:r>
      <w:r>
        <w:rPr>
          <w:sz w:val="28"/>
          <w:szCs w:val="28"/>
        </w:rPr>
        <w:t xml:space="preserve">ения в орган, осуществляющий перевод помещений, ответа органа государственной власти, органа местного самоуправления либо подведомственной органу государственной власти или органу местного самоуправления организации на межведомственный запрос, свидетельств</w:t>
      </w:r>
      <w:r>
        <w:rPr>
          <w:sz w:val="28"/>
          <w:szCs w:val="28"/>
        </w:rPr>
        <w:t xml:space="preserve">ующего об отсутствии документа и (или) информации, необходимых для перевода жилого помещения в нежилое помещение или нежилого помещения в жилое помещение в соответствии с пунктом 2.7.1 настоящего административного регламента, если соответствующий документ </w:t>
      </w:r>
      <w:r>
        <w:rPr>
          <w:sz w:val="28"/>
          <w:szCs w:val="28"/>
        </w:rPr>
        <w:t xml:space="preserve">непредставлен</w:t>
      </w:r>
      <w:r>
        <w:rPr>
          <w:sz w:val="28"/>
          <w:szCs w:val="28"/>
        </w:rPr>
        <w:t xml:space="preserve"> заявителем по собственной инициативе, орган, осуществляющий перевод помещений, после получения указанного ответа: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уведомляет заявителя о получении такого ответа,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предлагает заявителю представить документ и (или) информацию, необходимые для перевода жилого помещения в нежилое помещение или нежилого помещения в жилое помещение в соответствии с </w:t>
      </w:r>
      <w:hyperlink r:id="rId16" w:tooltip="consultantplus://offline/ref=C1CDE33D63DE8AFABC59A482FD33D1779F032631D15D311EC778CCCC97E5E6B8F2F3BD3A37ADA7L" w:history="1">
        <w:r>
          <w:rPr>
            <w:sz w:val="28"/>
            <w:szCs w:val="28"/>
          </w:rPr>
          <w:t xml:space="preserve">пунктом</w:t>
        </w:r>
      </w:hyperlink>
      <w:r>
        <w:rPr>
          <w:sz w:val="28"/>
          <w:szCs w:val="28"/>
        </w:rPr>
        <w:t xml:space="preserve"> 2.6 настоящего административного регламента.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Неполучение от заявителя необходимых документов и (или) информации в течение пятнадцати рабочих дней со дня направления уведомления является основанием отказа в переводе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3.3.5. Должностное лицо, ответственное за предоставление муниципальной услуги, в течение 20 рабочих дней со дня поступления заявления и прилагаемых документов в Уполномоченны</w:t>
      </w:r>
      <w:r>
        <w:rPr>
          <w:sz w:val="28"/>
          <w:szCs w:val="28"/>
        </w:rPr>
        <w:t xml:space="preserve">й орган проверяет заявление и все представленные документы на наличие оснований для отказа в переводе помещения, предусмотренных пунктом 2.9.2 настоящего административного регламента и готовит проект правового акта о переводе (отказе в переводе)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После подписания руководителем Уполномоченного органа проекта правового акта о переводе (отказе в переводе) помещения должностное лицо, ответственное з</w:t>
      </w:r>
      <w:r>
        <w:rPr>
          <w:sz w:val="28"/>
          <w:szCs w:val="28"/>
        </w:rPr>
        <w:t xml:space="preserve">а предоставление муниципальной услуги, готовит уведомление о переводе (отказе в переводе) помещения по форме, утвержденной постановлением Правительства Российской Федерации от 10 августа 2005 года № 502, для подписания руководителем Уполномоченного органа.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Документы, предусмотренные абзацем первым пункта 3.3.5 настоящего административного регламента, направляются способом, позволяющим подтвердить факт и дату получения.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3.3.6. Процедуру регистрации правового акта о переводе (отказе в переводе) помещения, уведомления о переводе (отказе в переводе)  по данной муниципальной услуге следует указать в соответствии с муниципальными правовыми актами.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3.3.7. Срок выполнения административной процедуры – в течение 43 календарных дней со дня передачи зарегистрированного заявления и документов, необходимых для предоставления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3.3.8. Критериями принятия решения в рамках выполнения административной процедуры является отсутствие оснований для отказа в переводе помещения, предусмотренных пунктом 2.9.2 настоящего административного регламента.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3.3.9. Результатом выполнения данной административной процедуры является подписание руководителем Уполномоченного органа и регистрация правового акта о переводе (отказе в переводе) помещения, уведомления о переводе (отказе в переводе) помещения.</w:t>
      </w:r>
      <w:r>
        <w:rPr>
          <w:sz w:val="28"/>
          <w:szCs w:val="28"/>
        </w:rPr>
      </w:r>
    </w:p>
    <w:p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3.4. Направление (вручение) заявителю уведомления о переводе (отказе в переводе) помещения</w:t>
      </w:r>
      <w:r>
        <w:rPr>
          <w:sz w:val="28"/>
          <w:szCs w:val="28"/>
        </w:rPr>
      </w:r>
    </w:p>
    <w:p>
      <w:pPr>
        <w:ind w:firstLine="54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3.4.1. Юридически</w:t>
      </w:r>
      <w:r>
        <w:rPr>
          <w:sz w:val="28"/>
          <w:szCs w:val="28"/>
        </w:rPr>
        <w:t xml:space="preserve">м фактом, являющимся основанием для начала выполнения административной процедуры является, поступление специалисту, ответственному за делопроизводство, 2-х экземпляров подписанного и зарегистрированного уведомления о переводе (отказе в переводе)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3.4.2. Вручение уведомления о переводе (отказе в переводе) п</w:t>
      </w:r>
      <w:r>
        <w:rPr>
          <w:sz w:val="28"/>
          <w:szCs w:val="28"/>
        </w:rPr>
        <w:t xml:space="preserve">омещения осуществляется специалистом Уполномоченного органа, ответственным за делопроизводство, в течение 3 рабочих дней со дня принятия решения Уполномоченным органом. Выдача уведомления о переводе либо об отказе в переводе помещения может осуществляться: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путем направления по почте в адрес заявителя заказным письмом с уведомлением;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путем вручения заявителю или его законному представителю по доверенности;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через личный кабинет на Едином портале (возможно при подаче заявления посредством Единого портала);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через МФЦ (возможно при подаче заявления в МФЦ).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Заявителю направляется экземпляр уведомления, второй экземпляр уведомления хранится в системе делопроизводства Уполномоченного органа.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Уведомление об отказе с указанием причин отказа в переводе помещения направляется заявителю. Вместе с уведомлением заявителю возвращаются все представленные им документы.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3.4.3. Срок выполнения административной процедуры составляет 3 рабочих дня со дня принятии решения о переводе (отказе в переводе)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3.4.4. Критерием принятия решения в рамках выполнения административной процедуры является: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наличие подписанного уведомления о переводе помещения;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наличие подписанного уведомления об отказе в переводе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3.4.5. Результатом выполнения данной административной процедуры является направление (вручение) заявителю уведомления о переводе помещения либо уведомление об отказе в переводе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Орган, осуществляющий перевод помещений, одновременно с выдачей или направлением заявителю данного документа информирует о принятии указанного решения собственников помещений, примыкающих к помещению, в отношении которого принято указанное решение.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необходимости проведения переустройства, и (или) </w:t>
      </w:r>
      <w:r>
        <w:rPr>
          <w:sz w:val="28"/>
          <w:szCs w:val="28"/>
        </w:rPr>
        <w:t xml:space="preserve">перепланировки переводимого помещения, и (или) иных работ для обеспечения использования такого помещения в качестве жилого или нежилого помещения правовой акт должен содержать требование об их проведении, перечень иных работ, если их проведение необходимо.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Прав</w:t>
      </w:r>
      <w:r>
        <w:rPr>
          <w:sz w:val="28"/>
          <w:szCs w:val="28"/>
        </w:rPr>
        <w:t xml:space="preserve">овой акт подтверждает окончание перевода помещения и является основанием использования помещения в качестве жилого или нежилого помещения, если для такого использования не требуется проведение его переустройства, и (или) перепланировки, и (или) иных работ.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  <w:shd w:val="clear" w:color="auto" w:fill="ffffff"/>
        </w:rPr>
        <w:outlineLvl w:val="0"/>
      </w:pPr>
      <w:r>
        <w:rPr>
          <w:sz w:val="28"/>
          <w:szCs w:val="28"/>
          <w:shd w:val="clear" w:color="auto" w:fill="ffffff"/>
        </w:rPr>
        <w:t xml:space="preserve">Подготовка акта приемочной комиссии, подтверждающего завершение переустройства, и (или) перепланировки, и (или) иных работ</w:t>
      </w:r>
      <w:r>
        <w:rPr>
          <w:sz w:val="28"/>
          <w:szCs w:val="28"/>
          <w:shd w:val="clear" w:color="auto" w:fill="ffffff"/>
        </w:rPr>
      </w:r>
    </w:p>
    <w:p>
      <w:pPr>
        <w:jc w:val="center"/>
        <w:rPr>
          <w:b/>
          <w:sz w:val="28"/>
          <w:szCs w:val="28"/>
        </w:rPr>
        <w:outlineLvl w:val="0"/>
      </w:pPr>
      <w:r>
        <w:rPr>
          <w:b/>
          <w:sz w:val="28"/>
          <w:szCs w:val="28"/>
        </w:rPr>
      </w:r>
      <w:r>
        <w:rPr>
          <w:b/>
          <w:sz w:val="28"/>
          <w:szCs w:val="28"/>
        </w:rPr>
      </w:r>
    </w:p>
    <w:p>
      <w:pPr>
        <w:ind w:firstLine="540"/>
        <w:jc w:val="center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3.5. Прием и регистрация заявления о приемке завершенного переустройства, и (или) перепланировки, и (или) иных работ нежилого (жилого) помещения</w:t>
      </w:r>
      <w:r>
        <w:rPr>
          <w:sz w:val="28"/>
          <w:szCs w:val="28"/>
        </w:rPr>
      </w:r>
    </w:p>
    <w:p>
      <w:pPr>
        <w:ind w:firstLine="540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3.5.1. Юридическим фактом, являющимся основанием для начала выполнения административной процедуры является, поступление в Уполномоченный орган заявления о приемке завершенного переустройства, и </w:t>
      </w:r>
      <w:r>
        <w:rPr>
          <w:sz w:val="28"/>
          <w:szCs w:val="28"/>
        </w:rPr>
        <w:t xml:space="preserve">(или) перепланировки, и (или) иных работ нежилого (жилого) помещения (далее – заявление о приемке).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widowControl/>
        <w:tabs>
          <w:tab w:val="num" w:pos="1288" w:leader="none"/>
          <w:tab w:val="left" w:pos="156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3.5.2. Должн</w:t>
      </w:r>
      <w:r>
        <w:rPr>
          <w:rFonts w:ascii="Times New Roman" w:hAnsi="Times New Roman" w:cs="Times New Roman"/>
          <w:sz w:val="28"/>
          <w:szCs w:val="28"/>
        </w:rPr>
        <w:t xml:space="preserve">остное лицо Уполномоченного органа, ответственное за прием и регистрацию заявления в день поступления заявления о приемке (при поступлении в электронном виде в нерабочее время – в ближайший рабочий день, следующий за днем поступления указанных документов):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осуществляет регистрацию заявления о приемке в журнале регистрации входящий обращений;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выдает расписку </w:t>
      </w:r>
      <w:r>
        <w:rPr>
          <w:rFonts w:eastAsia="Calibri"/>
          <w:sz w:val="28"/>
          <w:szCs w:val="28"/>
        </w:rPr>
        <w:t xml:space="preserve">в получении от заявителя заявления </w:t>
      </w:r>
      <w:r>
        <w:rPr>
          <w:sz w:val="28"/>
          <w:szCs w:val="28"/>
        </w:rPr>
        <w:t xml:space="preserve">о приемке.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3.5.3. После регистрации заявление о приемке направляется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3.5.4. Срок выполнения данной административной процедуры составляет 1 рабочий день со дня поступления заявления о приемке в Уполномоченный орган.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3.5.5. Критерием принятия решения по административной процедуре является поступление заявления и прилагаемых документов, необходимых для предоставления муниципальной услуги.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3.5.6.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о приемке на рассмотрение.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540"/>
        <w:jc w:val="center"/>
        <w:widowControl w:val="off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ind w:firstLine="540"/>
        <w:jc w:val="center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 Рассмотрение заявления, оформление акта приемочной комиссии, подтверждающего завершение переустройства и (или) перепланировки, и (или) иных работ</w:t>
      </w:r>
      <w:r>
        <w:rPr>
          <w:sz w:val="28"/>
          <w:szCs w:val="28"/>
        </w:rPr>
      </w:r>
    </w:p>
    <w:p>
      <w:pPr>
        <w:ind w:firstLine="540"/>
        <w:jc w:val="center"/>
        <w:widowControl w:val="off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3.6.1. Юридическим фактом, являющимся основанием для начала выполнения административной процедуры является получение должностным лицом, ответственным за предоставление муниципальной услуги заявления о приемке на рассмотрение.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3.6.2. В день поступления заявления о приемке должностное лицо, ответственное за предоставление муниципальной услуги извещает заявителя и членов приемочной комиссии о дате и времени проведения приемки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3.6.3. Состав приемочной комиссии утверждается Уполномоченным органом.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3.6.4. Приемочная комиссия в назначенное время производит осмотр переводимого помещения и принимает решение: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о признании завершенным  переустройства и (или) перепланировки помещения, которое оформляется актом приемки;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о признании незавершенным переустройства и (или) перепланировки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3.6.5. Критерием принятия решения о подписании акта приемки приемочной комиссией является соответствие  выполненных работ проекту переустройства и (или) перепланировки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3.6.6. Завершение переустройства и (или) перепланировки помещения </w:t>
      </w:r>
      <w:r>
        <w:rPr>
          <w:sz w:val="28"/>
          <w:szCs w:val="28"/>
        </w:rPr>
        <w:t xml:space="preserve">подтверждается актом приемки, в котором содержится решение о признании завершенным переустройства и (или) перепланировки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Акт приемки составляется в 4 экземплярах и подписывается членами приемочной комиссии.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3.6.7. Акт приемки утверждается руководителем органа местного самоуправления, предоставляющего муниципальную услугу.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3.6.8. Критерием принятия решения о признании незавершенным переустройства и (или) перепланировки помещения является несоответствие выполненных работ проекту переустройства и (или) перепланировки помещения.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3.6.9. На основании решения о признании незавершенным переустройства и (или) перепланировки помещения, а также по основанию, предусмотренному пунктом 2.9.2 настоящего административного регламента, оформляется отказ </w:t>
      </w:r>
      <w:r>
        <w:rPr>
          <w:sz w:val="28"/>
          <w:szCs w:val="28"/>
        </w:rPr>
        <w:br w:type="textWrapping" w:clear="all"/>
        <w:t xml:space="preserve">в переводе помещения с мотивированным объяснением.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3.6.10. Срок выполнения административной процедуры – </w:t>
      </w:r>
      <w:r>
        <w:rPr>
          <w:sz w:val="28"/>
          <w:szCs w:val="28"/>
        </w:rPr>
        <w:t xml:space="preserve">в течение </w:t>
      </w:r>
      <w:r>
        <w:rPr>
          <w:sz w:val="28"/>
          <w:szCs w:val="28"/>
        </w:rPr>
        <w:t xml:space="preserve">4</w:t>
      </w:r>
      <w:r>
        <w:rPr>
          <w:sz w:val="28"/>
          <w:szCs w:val="28"/>
        </w:rPr>
        <w:t xml:space="preserve">4</w:t>
      </w:r>
      <w:r>
        <w:rPr>
          <w:sz w:val="28"/>
          <w:szCs w:val="28"/>
        </w:rPr>
        <w:t xml:space="preserve"> календарных дней со дня получения должностным лицом, ответственным за предоставление муниципальной услуги заявления о приемке на рассмотрение. 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3.6.11. Результатом выполнения административной процедуры является утвержденный руководителем Уполномоченного органа акт приемки либо подписанный отказ в переводе помещения с мотивированным объяснением.</w:t>
      </w:r>
      <w:r>
        <w:rPr>
          <w:sz w:val="28"/>
          <w:szCs w:val="28"/>
        </w:rPr>
      </w:r>
    </w:p>
    <w:p>
      <w:pPr>
        <w:jc w:val="center"/>
        <w:widowControl w:val="off"/>
        <w:rPr>
          <w:i/>
          <w:sz w:val="28"/>
          <w:szCs w:val="28"/>
        </w:rPr>
      </w:pPr>
      <w:r>
        <w:rPr>
          <w:i/>
          <w:sz w:val="28"/>
          <w:szCs w:val="28"/>
        </w:rPr>
      </w:r>
      <w:r>
        <w:rPr>
          <w:i/>
          <w:sz w:val="28"/>
          <w:szCs w:val="28"/>
        </w:rPr>
      </w:r>
    </w:p>
    <w:p>
      <w:pPr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3.7. Направление (вручение) заявителю утвержде</w:t>
      </w:r>
      <w:r>
        <w:rPr>
          <w:sz w:val="28"/>
          <w:szCs w:val="28"/>
        </w:rPr>
        <w:t xml:space="preserve">нного акта приемочной комиссии, направление акта приемочной комиссии в территориальный орган федерального органа исполнительной власти, уполномоченного Правительством Российской Федерации на осуществление государственного кадастрового учета, государственно</w:t>
      </w:r>
      <w:r>
        <w:rPr>
          <w:sz w:val="28"/>
          <w:szCs w:val="28"/>
        </w:rPr>
        <w:t xml:space="preserve">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либо направление (вручение) заявителю отказа в переводе помещения с мотивированным объяснением 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3.7.1. </w:t>
      </w:r>
      <w:r>
        <w:rPr>
          <w:color w:val="000000"/>
          <w:sz w:val="28"/>
          <w:szCs w:val="28"/>
        </w:rPr>
        <w:t xml:space="preserve">Должностное лицо, ответственное з</w:t>
      </w:r>
      <w:r>
        <w:rPr>
          <w:color w:val="000000"/>
          <w:sz w:val="28"/>
          <w:szCs w:val="28"/>
        </w:rPr>
        <w:t xml:space="preserve">а предоставление муниципальной услуги, в срок не позднее пяти рабочих дней  с даты утверждения обязан направить в электронной форме в орган регистрации прав заявление об  осуществлении государственного кадастрового учета и государственной регистрации права</w:t>
      </w:r>
      <w:r>
        <w:rPr>
          <w:sz w:val="28"/>
          <w:szCs w:val="28"/>
        </w:rPr>
        <w:t xml:space="preserve"> заявителя на </w:t>
      </w:r>
      <w:r>
        <w:rPr>
          <w:sz w:val="28"/>
          <w:szCs w:val="28"/>
        </w:rPr>
        <w:t xml:space="preserve">перепланируемое</w:t>
      </w:r>
      <w:r>
        <w:rPr>
          <w:sz w:val="28"/>
          <w:szCs w:val="28"/>
        </w:rPr>
        <w:t xml:space="preserve"> помещение, направляет акт приемки, содержащий решение о признании завершенным переустройства и (или) перепланировки помещения в территориальный орган федерального органа исполнительной власти, уполномоченного Правитель</w:t>
      </w:r>
      <w:r>
        <w:rPr>
          <w:sz w:val="28"/>
          <w:szCs w:val="28"/>
        </w:rPr>
        <w:t xml:space="preserve">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недвижимости. 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Документы, предусмотренные пунктом 3.7.1 настоящего административного регламента, направляются способом, позволяющим подтвердить факт и дату направления.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3.7.2. Выдача (направление) заявителю утвержденного акта приемки, </w:t>
      </w:r>
      <w:r>
        <w:rPr>
          <w:sz w:val="28"/>
          <w:szCs w:val="28"/>
        </w:rPr>
        <w:t xml:space="preserve">подписанного отказа в переводе помещения с мотивированным объяснением осуществляется: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путем направления по почте в адрес заявителя заказным письмом </w:t>
      </w:r>
      <w:r>
        <w:rPr>
          <w:sz w:val="28"/>
          <w:szCs w:val="28"/>
        </w:rPr>
        <w:br w:type="textWrapping" w:clear="all"/>
        <w:t xml:space="preserve">с уведомлением;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путем вручения заявителю или его законному представителю по доверенности;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через личный кабинет на Едином портале (возможно при подаче заявления посредством Единого портала);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через МФЦ (возможно при подаче заявления в МФЦ).</w:t>
      </w:r>
      <w:r>
        <w:rPr>
          <w:sz w:val="28"/>
          <w:szCs w:val="28"/>
        </w:rPr>
      </w:r>
    </w:p>
    <w:p>
      <w:pPr>
        <w:ind w:firstLine="709"/>
        <w:jc w:val="both"/>
        <w:widowControl w:val="off"/>
        <w:rPr>
          <w:sz w:val="28"/>
          <w:szCs w:val="28"/>
        </w:rPr>
      </w:pPr>
      <w:r>
        <w:rPr>
          <w:sz w:val="28"/>
          <w:szCs w:val="28"/>
        </w:rPr>
        <w:t xml:space="preserve">3.7.3. Срок выполнения административной процедуры – в течение 3 рабочих дней со дня утверждения акта приемки, принятия решения об отказе в переводе помещения.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3.7.4. Критерием принятия решения в рамках выполнения административной процедуры является: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наличие утвержденного акта приемки;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наличие подписанного отказа в переводе с помещения с мотивированным объяснением.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3.7.5. Результатом выполнения данной административной процедуры является направление (вручение) заявителю акта приемки либо отказа в переводе помещения с мотивированным объяснением.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Акт приемочной комиссии подтверждает окончание перевода помещения и является основанием использования переведенного помещения в качестве жилого или нежилого помещения.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702"/>
        <w:spacing w:before="0"/>
        <w:rPr>
          <w:lang w:val="ru-RU"/>
        </w:rPr>
      </w:pPr>
      <w:r>
        <w:t xml:space="preserve">IV</w:t>
      </w:r>
      <w:r>
        <w:rPr>
          <w:lang w:val="ru-RU"/>
        </w:rPr>
        <w:t xml:space="preserve">. Формы контроля за исполнением</w:t>
      </w:r>
      <w:r>
        <w:rPr>
          <w:lang w:val="ru-RU"/>
        </w:rPr>
      </w:r>
    </w:p>
    <w:p>
      <w:pPr>
        <w:pStyle w:val="702"/>
        <w:spacing w:before="0"/>
        <w:rPr>
          <w:lang w:val="ru-RU"/>
        </w:rPr>
      </w:pPr>
      <w:r>
        <w:rPr>
          <w:lang w:val="ru-RU"/>
        </w:rPr>
        <w:t xml:space="preserve">административного регламента</w:t>
      </w:r>
      <w:r>
        <w:rPr>
          <w:lang w:val="ru-RU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4.1.</w:t>
      </w:r>
      <w:r>
        <w:rPr>
          <w:sz w:val="28"/>
          <w:szCs w:val="28"/>
        </w:rPr>
        <w:tab/>
        <w:t xml:space="preserve">Контроль за соблюдением и исполнением должностными лицами Уполномоченного органа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положений админи</w:t>
      </w:r>
      <w:r>
        <w:rPr>
          <w:sz w:val="28"/>
          <w:szCs w:val="28"/>
        </w:rPr>
        <w:t xml:space="preserve">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4.2. Текущий контроль за соблюдением и исполнением должностными лицами положений адм</w:t>
      </w:r>
      <w:r>
        <w:rPr>
          <w:sz w:val="28"/>
          <w:szCs w:val="28"/>
        </w:rPr>
        <w:t xml:space="preserve">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Текущий контроль осуществляется на постоянной основе.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услуги</w:t>
      </w:r>
      <w:r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над полнотой и качеством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предоставления муниципальной услуги </w:t>
      </w:r>
      <w:r>
        <w:rPr>
          <w:rFonts w:ascii="Times New Roman" w:hAnsi="Times New Roman" w:cs="Times New Roman"/>
          <w:sz w:val="28"/>
          <w:szCs w:val="28"/>
        </w:rPr>
        <w:t xml:space="preserve">осуществляют должностные лица, определенные муниципальным правовым актом Уполномоченного органа.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Проверки могут быть плановыми (осуществляться на основании полугодовых или годовых планов работы Уполномоченного органа) и внеплановыми.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tabs>
          <w:tab w:val="left" w:pos="0" w:leader="none"/>
        </w:tabs>
        <w:rPr>
          <w:sz w:val="28"/>
          <w:szCs w:val="28"/>
        </w:rPr>
        <w:outlineLvl w:val="2"/>
      </w:pPr>
      <w:r>
        <w:rPr>
          <w:sz w:val="28"/>
          <w:szCs w:val="28"/>
        </w:rPr>
        <w:t xml:space="preserve">Периодичность проверок – плановые 1 раз в год, внеплановые – по конкретному обращению заявителя.</w:t>
      </w:r>
      <w:r>
        <w:rPr>
          <w:sz w:val="28"/>
          <w:szCs w:val="28"/>
        </w:rPr>
      </w:r>
    </w:p>
    <w:p>
      <w:pPr>
        <w:ind w:firstLine="709"/>
        <w:jc w:val="both"/>
        <w:tabs>
          <w:tab w:val="left" w:pos="0" w:leader="none"/>
        </w:tabs>
        <w:rPr>
          <w:bCs/>
          <w:sz w:val="28"/>
          <w:szCs w:val="28"/>
        </w:rPr>
        <w:outlineLvl w:val="2"/>
      </w:pPr>
      <w:r>
        <w:rPr>
          <w:sz w:val="28"/>
          <w:szCs w:val="28"/>
        </w:rP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</w:t>
      </w:r>
      <w:r>
        <w:rPr>
          <w:sz w:val="28"/>
          <w:szCs w:val="28"/>
        </w:rPr>
        <w:t xml:space="preserve">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  <w:r>
        <w:rPr>
          <w:bCs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9"/>
        <w:ind w:firstLine="709"/>
        <w:rPr>
          <w:bCs/>
          <w:sz w:val="28"/>
          <w:szCs w:val="28"/>
        </w:rPr>
      </w:pPr>
      <w:r>
        <w:rPr>
          <w:sz w:val="28"/>
          <w:szCs w:val="28"/>
        </w:rPr>
        <w:t xml:space="preserve"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  <w:r>
        <w:rPr>
          <w:bCs/>
          <w:sz w:val="28"/>
          <w:szCs w:val="28"/>
        </w:rPr>
      </w:r>
    </w:p>
    <w:p>
      <w:pPr>
        <w:pStyle w:val="889"/>
        <w:ind w:firstLine="709"/>
        <w:rPr>
          <w:bCs/>
          <w:sz w:val="28"/>
          <w:szCs w:val="28"/>
        </w:rPr>
      </w:pPr>
      <w:r>
        <w:rPr>
          <w:sz w:val="28"/>
          <w:szCs w:val="28"/>
        </w:rPr>
        <w:t xml:space="preserve">4.5. По результатам  про</w:t>
      </w:r>
      <w:r>
        <w:rPr>
          <w:sz w:val="28"/>
          <w:szCs w:val="28"/>
        </w:rPr>
        <w:t xml:space="preserve">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  <w:r>
        <w:rPr>
          <w:bCs/>
          <w:sz w:val="28"/>
          <w:szCs w:val="28"/>
        </w:rPr>
      </w:r>
    </w:p>
    <w:p>
      <w:pPr>
        <w:pStyle w:val="884"/>
        <w:ind w:firstLine="709"/>
        <w:jc w:val="both"/>
        <w:tabs>
          <w:tab w:val="left" w:pos="900" w:leader="none"/>
          <w:tab w:val="left" w:pos="108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 w:cs="Times New Roman"/>
          <w:sz w:val="28"/>
          <w:szCs w:val="28"/>
        </w:rPr>
        <w:t xml:space="preserve">Российской Федерации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 w:cs="Times New Roman"/>
          <w:sz w:val="28"/>
          <w:szCs w:val="28"/>
        </w:rPr>
        <w:t xml:space="preserve">возлагается на лиц, замещающих должности в Уполномоченном органе, и </w:t>
      </w:r>
      <w:r>
        <w:rPr>
          <w:rFonts w:ascii="Times New Roman" w:hAnsi="Times New Roman" w:cs="Times New Roman"/>
          <w:iCs/>
          <w:sz w:val="28"/>
          <w:szCs w:val="28"/>
        </w:rPr>
        <w:t xml:space="preserve">работников МФЦ,</w:t>
      </w:r>
      <w:r>
        <w:rPr>
          <w:rFonts w:ascii="Times New Roman" w:hAnsi="Times New Roman" w:cs="Times New Roman"/>
          <w:sz w:val="28"/>
          <w:szCs w:val="28"/>
        </w:rPr>
        <w:t xml:space="preserve"> ответственных за предоставление муниципальной услуги.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  <w:r>
        <w:rPr>
          <w:i/>
          <w:sz w:val="28"/>
          <w:szCs w:val="28"/>
        </w:rPr>
      </w:r>
    </w:p>
    <w:p>
      <w:pPr>
        <w:pStyle w:val="884"/>
        <w:ind w:firstLine="709"/>
        <w:jc w:val="both"/>
        <w:tabs>
          <w:tab w:val="left" w:pos="900" w:leader="none"/>
          <w:tab w:val="left" w:pos="1080" w:leader="none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</w:t>
      </w:r>
      <w:r>
        <w:rPr>
          <w:sz w:val="28"/>
          <w:szCs w:val="28"/>
        </w:rPr>
        <w:t xml:space="preserve">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Заявитель может обратиться с жалобой, в том числе в следующих случаях: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нарушение срока регистрации запроса о предоставлении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нарушение срока предоставления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требование у заявителя документов или информации либо осуществления действий, </w:t>
      </w:r>
      <w:r>
        <w:rPr>
          <w:sz w:val="28"/>
          <w:szCs w:val="28"/>
        </w:rPr>
        <w:t xml:space="preserve">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 Вытегорского муниципального округа для предоставления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отказ заявителю </w:t>
      </w:r>
      <w:r>
        <w:rPr>
          <w:sz w:val="28"/>
          <w:szCs w:val="28"/>
        </w:rPr>
        <w:t xml:space="preserve">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 Вытегорского муниципального округа для предоставления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отказ в предоставлении муниципальной услуги, если</w:t>
      </w:r>
      <w:r>
        <w:rPr>
          <w:sz w:val="28"/>
          <w:szCs w:val="28"/>
        </w:rPr>
        <w:t xml:space="preserve">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 Вытегорского муниципального округа;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 Вытегорского муниципального округа;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нарушение срока или порядка выдачи документов по результатам предоставления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9) приостановление предоставления муниципальной услуги, если основания приостановлени</w:t>
      </w:r>
      <w:r>
        <w:rPr>
          <w:sz w:val="28"/>
          <w:szCs w:val="28"/>
        </w:rPr>
        <w:t xml:space="preserve">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Вытегорского муниципального округа;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10) требование у заявителя при предоставлении муниципальной услуги докуме</w:t>
      </w:r>
      <w:r>
        <w:rPr>
          <w:sz w:val="28"/>
          <w:szCs w:val="28"/>
        </w:rPr>
        <w:t xml:space="preserve">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б) наличие ошибок в заявлении о предоставлении муни</w:t>
      </w:r>
      <w:r>
        <w:rPr>
          <w:sz w:val="28"/>
          <w:szCs w:val="28"/>
        </w:rPr>
        <w:t xml:space="preserve">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  <w:r>
        <w:rPr>
          <w:sz w:val="28"/>
          <w:szCs w:val="28"/>
        </w:rPr>
      </w:r>
    </w:p>
    <w:p>
      <w:pPr>
        <w:ind w:firstLine="709"/>
        <w:jc w:val="both"/>
        <w:rPr>
          <w:rFonts w:ascii="Verdana" w:hAnsi="Verdana"/>
          <w:sz w:val="21"/>
          <w:szCs w:val="21"/>
        </w:rPr>
      </w:pPr>
      <w:r>
        <w:rPr>
          <w:rFonts w:eastAsia="Calibri"/>
          <w:sz w:val="28"/>
          <w:szCs w:val="28"/>
        </w:rPr>
        <w:t xml:space="preserve">г) выявление документально подтвержденного факта (признаков) ошибочного или противоправного действия (бе</w:t>
      </w:r>
      <w:r>
        <w:rPr>
          <w:rFonts w:eastAsia="Calibri"/>
          <w:sz w:val="28"/>
          <w:szCs w:val="28"/>
        </w:rPr>
        <w:t xml:space="preserve">здействия) должностного лица Уполномоченного органа, муниципального служащего, МФЦ,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</w:t>
      </w:r>
      <w:r>
        <w:rPr>
          <w:rFonts w:eastAsia="Calibri"/>
          <w:sz w:val="28"/>
          <w:szCs w:val="28"/>
        </w:rPr>
        <w:t xml:space="preserve">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заявитель, а также приносятся извинения за доставленные неудобства.</w:t>
      </w:r>
      <w:r>
        <w:rPr>
          <w:rFonts w:ascii="Verdana" w:hAnsi="Verdana"/>
          <w:sz w:val="21"/>
          <w:szCs w:val="21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случаях, указанных в подпунктах 2, 5, 7, 9, 10 настоящего пункта, досудебное (внесуде</w:t>
      </w:r>
      <w:r>
        <w:rPr>
          <w:sz w:val="28"/>
          <w:szCs w:val="28"/>
        </w:rPr>
        <w:t xml:space="preserve">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5.3. Основанием для начала процедуры досудебного (внесудебного) обжалования является поступление жалобы заявителя.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подается в письменной форме на бумажном носителе, в электронной форме. </w:t>
      </w:r>
      <w:r>
        <w:rPr>
          <w:sz w:val="28"/>
          <w:szCs w:val="28"/>
        </w:rPr>
      </w:r>
    </w:p>
    <w:p>
      <w:pPr>
        <w:ind w:right="-5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</w:t>
      </w:r>
      <w:r>
        <w:rPr>
          <w:sz w:val="28"/>
          <w:szCs w:val="28"/>
        </w:rPr>
        <w:t xml:space="preserve">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на решения и действия (бездействие) многофункци</w:t>
      </w:r>
      <w:r>
        <w:rPr>
          <w:sz w:val="28"/>
          <w:szCs w:val="28"/>
        </w:rPr>
        <w:t xml:space="preserve">онального центра,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  <w:r>
        <w:rPr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Жалоба, поступившая в письменной форме или в электронном виде</w:t>
      </w:r>
      <w:r>
        <w:rPr>
          <w:rFonts w:ascii="Times New Roman" w:hAnsi="Times New Roman" w:cs="Times New Roman"/>
          <w:sz w:val="28"/>
          <w:szCs w:val="28"/>
        </w:rPr>
        <w:t xml:space="preserve">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многофункционального центра и его работников не позднее следующего рабочего дня со дня ее поступления.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5.4. В досудебном порядке могут быть обжалованы действия (бездействие) и решения: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09"/>
        <w:jc w:val="both"/>
        <w:rPr>
          <w:iCs/>
          <w:sz w:val="28"/>
          <w:szCs w:val="28"/>
        </w:rPr>
      </w:pPr>
      <w:r>
        <w:rPr>
          <w:sz w:val="28"/>
          <w:szCs w:val="28"/>
        </w:rPr>
        <w:t xml:space="preserve">должностных лиц Уполномоченного органа, муниципальных служащих – </w:t>
      </w:r>
      <w:r>
        <w:rPr>
          <w:iCs/>
          <w:sz w:val="28"/>
          <w:szCs w:val="28"/>
        </w:rPr>
        <w:t xml:space="preserve">руководителю Уполномоченного органа);</w:t>
      </w:r>
      <w:r>
        <w:rPr>
          <w:iCs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работника МФЦ - руководителю МФЦ;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руководителя МФЦ, МФЦ - органу местного самоуправления, являющемуся учредителем МФЦ.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на решения и (или)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 при осуществлении в </w:t>
      </w:r>
      <w:r>
        <w:rPr>
          <w:sz w:val="28"/>
          <w:szCs w:val="28"/>
        </w:rPr>
        <w:t xml:space="preserve">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7" w:tooltip="consultantplus://offline/ref=076C15B46DC357EEFA5267F9702BBB92EC4EEB0C6156D7EE4C4C95EE9D7AEC86E4161FE02818130C2C37L" w:history="1">
        <w:r>
          <w:rPr>
            <w:sz w:val="28"/>
            <w:szCs w:val="28"/>
          </w:rPr>
          <w:t xml:space="preserve">частью 2 статьи 6</w:t>
        </w:r>
      </w:hyperlink>
      <w:r>
        <w:rPr>
          <w:sz w:val="28"/>
          <w:szCs w:val="28"/>
        </w:rPr>
        <w:t xml:space="preserve"> Градостроительного кодекса Российской Федерации, может быть подана такими лицами в поря</w:t>
      </w:r>
      <w:r>
        <w:rPr>
          <w:sz w:val="28"/>
          <w:szCs w:val="28"/>
        </w:rPr>
        <w:t xml:space="preserve">дке, установленном статьей 11.2 Федерального закона от 27.07.2010 № 210-ФЗ «Об организации предоставления государственных и муниципальных услуг», либо в порядке, установленном антимонопольным законодательством Российской Федерации, в антимонопольный орган.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5.5. </w:t>
      </w:r>
      <w:r>
        <w:rPr>
          <w:rFonts w:eastAsia="Calibri"/>
          <w:sz w:val="28"/>
          <w:szCs w:val="28"/>
        </w:rPr>
        <w:t xml:space="preserve">Подача жалоб, направляемых в электронной форме, и порядок их рассмотрения осуществляется в соответствии с Порядком, утвержденным уполномоченным органом.</w:t>
      </w:r>
      <w:r>
        <w:rPr>
          <w:rFonts w:eastAsia="Calibri"/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5.6. Жалоба должна содержать: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наименование органа, предоставляющего муниципальную услугу,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фамилию, имя, отчество (последнее – при наличии), сведения о месте жительства заявителя –</w:t>
      </w:r>
      <w:r>
        <w:rPr>
          <w:sz w:val="28"/>
          <w:szCs w:val="28"/>
        </w:rPr>
        <w:t xml:space="preserve">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доводы, на основании которых заявитель не согласен с реш</w:t>
      </w:r>
      <w:r>
        <w:rPr>
          <w:sz w:val="28"/>
          <w:szCs w:val="28"/>
        </w:rPr>
        <w:t xml:space="preserve">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5.7. 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</w:t>
      </w:r>
      <w:r>
        <w:rPr>
          <w:sz w:val="28"/>
          <w:szCs w:val="28"/>
        </w:rPr>
        <w:t xml:space="preserve">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5.8. По результатам рассмотрения жалобы принимается одно из следующих решений: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</w:t>
      </w:r>
      <w:r>
        <w:rPr>
          <w:sz w:val="28"/>
          <w:szCs w:val="28"/>
        </w:rPr>
        <w:t xml:space="preserve">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актами;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удовлетворении жалобы отказывается.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5.9. Не позднее дня, следующего за днем принятия решен</w:t>
      </w:r>
      <w:r>
        <w:rPr>
          <w:sz w:val="28"/>
          <w:szCs w:val="28"/>
        </w:rPr>
        <w:t xml:space="preserve">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</w:t>
      </w:r>
      <w:r>
        <w:rPr>
          <w:sz w:val="28"/>
          <w:szCs w:val="28"/>
        </w:rPr>
        <w:t xml:space="preserve">ного устранения выявленных нарушений при оказании 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5.11. В случае признания </w:t>
      </w:r>
      <w:r>
        <w:rPr>
          <w:sz w:val="28"/>
          <w:szCs w:val="28"/>
        </w:rPr>
        <w:t xml:space="preserve">жалобы</w:t>
      </w:r>
      <w:r>
        <w:rPr>
          <w:sz w:val="28"/>
          <w:szCs w:val="28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5.12. В случае установления </w:t>
      </w:r>
      <w:r>
        <w:rPr>
          <w:sz w:val="28"/>
          <w:szCs w:val="28"/>
        </w:rPr>
        <w:t xml:space="preserve">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  <w:r>
        <w:rPr>
          <w:sz w:val="28"/>
          <w:szCs w:val="28"/>
        </w:rPr>
      </w:r>
    </w:p>
    <w:p>
      <w:pPr>
        <w:ind w:firstLine="709"/>
        <w:jc w:val="both"/>
        <w:rPr>
          <w:rFonts w:eastAsia="Calibri"/>
          <w:iCs/>
          <w:sz w:val="28"/>
          <w:szCs w:val="28"/>
        </w:rPr>
        <w:sectPr>
          <w:headerReference w:type="default" r:id="rId9"/>
          <w:footnotePr/>
          <w:endnotePr/>
          <w:type w:val="nextPage"/>
          <w:pgSz w:w="11906" w:h="16838" w:orient="portrait"/>
          <w:pgMar w:top="1134" w:right="850" w:bottom="1134" w:left="1701" w:header="567" w:footer="284" w:gutter="0"/>
          <w:cols w:num="1" w:sep="0" w:space="708" w:equalWidth="1"/>
          <w:docGrid w:linePitch="360"/>
          <w:titlePg/>
        </w:sectPr>
      </w:pPr>
      <w:r>
        <w:rPr>
          <w:rFonts w:eastAsia="Calibri"/>
          <w:iCs/>
          <w:sz w:val="28"/>
          <w:szCs w:val="28"/>
        </w:rPr>
      </w:r>
      <w:r>
        <w:rPr>
          <w:rFonts w:eastAsia="Calibri"/>
          <w:iCs/>
          <w:sz w:val="28"/>
          <w:szCs w:val="28"/>
        </w:rPr>
      </w:r>
    </w:p>
    <w:p>
      <w:pPr>
        <w:ind w:firstLine="709"/>
        <w:jc w:val="both"/>
        <w:rPr>
          <w:rFonts w:eastAsia="Calibri"/>
          <w:iCs/>
          <w:sz w:val="28"/>
          <w:szCs w:val="28"/>
        </w:rPr>
      </w:pPr>
      <w:r>
        <w:rPr>
          <w:rFonts w:eastAsia="Calibri"/>
          <w:iCs/>
          <w:sz w:val="28"/>
          <w:szCs w:val="28"/>
        </w:rPr>
      </w:r>
      <w:r>
        <w:rPr>
          <w:rFonts w:eastAsia="Calibri"/>
          <w:iCs/>
          <w:sz w:val="28"/>
          <w:szCs w:val="28"/>
        </w:rPr>
      </w:r>
    </w:p>
    <w:p>
      <w:pPr>
        <w:jc w:val="right"/>
        <w:rPr>
          <w:sz w:val="28"/>
          <w:szCs w:val="28"/>
          <w:highlight w:val="none"/>
        </w:rPr>
      </w:pPr>
      <w:r>
        <w:rPr>
          <w:sz w:val="28"/>
          <w:szCs w:val="28"/>
        </w:rPr>
        <w:t xml:space="preserve">Приложение 1</w:t>
      </w:r>
      <w:r>
        <w:rPr>
          <w:sz w:val="28"/>
          <w:szCs w:val="28"/>
          <w:highlight w:val="none"/>
        </w:rPr>
      </w:r>
    </w:p>
    <w:p>
      <w:pPr>
        <w:jc w:val="right"/>
        <w:rPr>
          <w:sz w:val="28"/>
          <w:szCs w:val="28"/>
        </w:rPr>
      </w:pPr>
      <w:r>
        <w:rPr>
          <w:sz w:val="28"/>
          <w:szCs w:val="28"/>
          <w:highlight w:val="none"/>
        </w:rPr>
        <w:t xml:space="preserve">к административному регламенту</w:t>
      </w:r>
      <w:r>
        <w:rPr>
          <w:sz w:val="28"/>
          <w:szCs w:val="28"/>
          <w:highlight w:val="none"/>
        </w:rPr>
      </w:r>
    </w:p>
    <w:p>
      <w:pPr>
        <w:rPr>
          <w:sz w:val="28"/>
          <w:szCs w:val="28"/>
          <w:lang w:val="en-US"/>
        </w:rPr>
        <w:outlineLvl w:val="0"/>
      </w:pPr>
      <w:r>
        <w:rPr>
          <w:sz w:val="28"/>
          <w:szCs w:val="28"/>
          <w:lang w:val="en-US"/>
        </w:rPr>
      </w:r>
      <w:r>
        <w:rPr>
          <w:sz w:val="28"/>
          <w:szCs w:val="28"/>
          <w:lang w:val="en-US"/>
        </w:rPr>
      </w:r>
    </w:p>
    <w:p>
      <w:pPr>
        <w:rPr>
          <w:sz w:val="28"/>
          <w:szCs w:val="28"/>
          <w:lang w:val="en-US"/>
        </w:rPr>
        <w:outlineLvl w:val="0"/>
      </w:pPr>
      <w:r>
        <w:rPr>
          <w:sz w:val="28"/>
          <w:szCs w:val="28"/>
          <w:lang w:val="en-US"/>
        </w:rPr>
      </w:r>
      <w:r>
        <w:rPr>
          <w:sz w:val="28"/>
          <w:szCs w:val="28"/>
          <w:lang w:val="en-US"/>
        </w:rPr>
      </w: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1044"/>
        <w:gridCol w:w="3649"/>
      </w:tblGrid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Кому:</w:t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От</w:t>
            </w:r>
            <w:r>
              <w:rPr>
                <w:i/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</w:r>
            <w:r>
              <w:rPr>
                <w:i/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(для юридического лица указывается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фирменное наименование, для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физического лица указываются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фамилия, имя, отчество заявителя;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для лица, действующего по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доверенности, - фамилия, имя,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отчество лица, действующего на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0"/>
                <w:szCs w:val="20"/>
              </w:rPr>
              <w:t xml:space="preserve">основании доверенности)</w:t>
            </w:r>
            <w:r>
              <w:rPr>
                <w:sz w:val="28"/>
                <w:szCs w:val="28"/>
              </w:rPr>
            </w:r>
          </w:p>
        </w:tc>
      </w:tr>
    </w:tbl>
    <w:p>
      <w:pPr>
        <w:rPr>
          <w:sz w:val="28"/>
          <w:szCs w:val="28"/>
        </w:rPr>
        <w:outlineLvl w:val="0"/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Заявление о переводе помещения в нежилое помещения и нежилого помещения в жилое помещение</w:t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W w:w="0" w:type="auto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4743"/>
        <w:gridCol w:w="4601"/>
      </w:tblGrid>
      <w:tr>
        <w:tblPrEx/>
        <w:trPr>
          <w:cantSplit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Сведения о заявителе (физическое лицо)</w:t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Фамилия, имя, отчество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Адрес регистрации по месту жительства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Данные документа, удостоверяющего личность, - для гражданина, в том числе являющегося индивидуальным предпринимателем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trHeight w:val="345"/>
        </w:trPr>
        <w:tc>
          <w:tcPr>
            <w:tcW w:w="4743" w:type="dxa"/>
            <w:textDirection w:val="lrTb"/>
            <w:noWrap w:val="false"/>
          </w:tcPr>
          <w:p>
            <w:pPr>
              <w:pStyle w:val="88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ИНН - для гражданина, в том числе являющемся индивидуальным предпринимателем</w:t>
            </w: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trHeight w:val="345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ОГРНИП - для гражданина, являющегося индивидуальным предпринимателем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Контактный телефон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Почтовый адрес, адрес электронной 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Сведения о заявителе (юридическое лицо)</w:t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pStyle w:val="928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Полное и сокращенное наименование 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Юридический адрес 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ИНН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ОГРН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Фамилия, имя, отчество представителя организации, уполномоченного действовать без доверенности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Должность представителя, уполномоченного действовать без доверенности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Контактные телефоны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Почтовый адрес, адрес электронной 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Для лица, действующего на основании документа, подтверждающего полномочия действовать от имени заявителя</w:t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pStyle w:val="884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Фамилия, имя, отчество  (при наличии) лица, действующего от имени физического или юридического лица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Данные документа, подтверждающего полномочия лица действовать от имени физического или юридического лица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Контактные телефоны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Адрес электронной 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</w:tbl>
    <w:p>
      <w:pPr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Прошу разрешить перевод _________________(жилого/нежилого)  помещения в _________________(жилое /нежилое) в доме № _________, кв. № ____ по адресу: ______________________ под ______________________ (цель перевода).</w:t>
      </w:r>
      <w:r>
        <w:rPr>
          <w:sz w:val="28"/>
          <w:szCs w:val="28"/>
        </w:rPr>
      </w:r>
    </w:p>
    <w:p>
      <w:pPr>
        <w:ind w:firstLine="708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Приложения: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1. _____________________________________________________________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2. _____________________________________________________________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3. _____________________________________________________________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4. _____________________________________________________________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5. _____________________________________________________________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Способ выдачи документов (нужное отметить):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лично      ⁯  направление посредством почтового отправления с уведомлением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в МФЦ**     ⁯  в личном кабинете на Едином портале*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по электронной почте.   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«____»_______________20____г.                                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(подпись)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* в случае если заявление подано посредством Единого портала.</w:t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** в случае если заявление подано через МФЦ.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  <w:sectPr>
          <w:footnotePr/>
          <w:endnotePr/>
          <w:type w:val="nextPage"/>
          <w:pgSz w:w="11906" w:h="16838" w:orient="portrait"/>
          <w:pgMar w:top="426" w:right="567" w:bottom="284" w:left="1701" w:header="567" w:footer="284" w:gutter="0"/>
          <w:cols w:num="1" w:sep="0" w:space="708" w:equalWidth="1"/>
          <w:docGrid w:linePitch="360"/>
          <w:titlePg/>
        </w:sect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right"/>
        <w:rPr>
          <w:sz w:val="28"/>
          <w:szCs w:val="28"/>
          <w:highlight w:val="none"/>
        </w:rPr>
      </w:pPr>
      <w:r>
        <w:rPr>
          <w:sz w:val="28"/>
          <w:szCs w:val="28"/>
        </w:rPr>
        <w:t xml:space="preserve">Приложение 2</w:t>
      </w:r>
      <w:r>
        <w:rPr>
          <w:sz w:val="28"/>
          <w:szCs w:val="28"/>
          <w:highlight w:val="none"/>
        </w:rPr>
      </w:r>
    </w:p>
    <w:p>
      <w:pPr>
        <w:jc w:val="right"/>
        <w:rPr>
          <w:sz w:val="28"/>
          <w:szCs w:val="28"/>
          <w:highlight w:val="none"/>
        </w:rPr>
      </w:pPr>
      <w:r>
        <w:rPr>
          <w:sz w:val="28"/>
          <w:szCs w:val="28"/>
          <w:highlight w:val="none"/>
        </w:rPr>
        <w:t xml:space="preserve">к административному регламенту</w:t>
      </w:r>
      <w:r>
        <w:rPr>
          <w:sz w:val="28"/>
          <w:szCs w:val="28"/>
          <w:highlight w:val="none"/>
        </w:rPr>
      </w:r>
    </w:p>
    <w:p>
      <w:pPr>
        <w:jc w:val="right"/>
        <w:rPr>
          <w:sz w:val="28"/>
          <w:szCs w:val="28"/>
        </w:rPr>
      </w:pPr>
      <w:r>
        <w:rPr>
          <w:sz w:val="28"/>
          <w:szCs w:val="28"/>
          <w:highlight w:val="none"/>
        </w:rPr>
      </w:r>
      <w:r>
        <w:rPr>
          <w:sz w:val="28"/>
          <w:szCs w:val="28"/>
          <w:highlight w:val="none"/>
        </w:rPr>
      </w:r>
    </w:p>
    <w:tbl>
      <w:tblPr>
        <w:tblW w:w="0" w:type="auto"/>
        <w:tblInd w:w="5160" w:type="dxa"/>
        <w:tblLook w:val="04A0" w:firstRow="1" w:lastRow="0" w:firstColumn="1" w:lastColumn="0" w:noHBand="0" w:noVBand="1"/>
      </w:tblPr>
      <w:tblGrid>
        <w:gridCol w:w="1044"/>
        <w:gridCol w:w="3649"/>
      </w:tblGrid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Кому</w:t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От</w:t>
            </w:r>
            <w:r>
              <w:rPr>
                <w:i/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</w:r>
            <w:r>
              <w:rPr>
                <w:i/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  <w:bottom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/>
        <w:tc>
          <w:tcPr>
            <w:tcW w:w="1044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  <w:tc>
          <w:tcPr>
            <w:tcBorders>
              <w:top w:val="single" w:color="000000" w:sz="4" w:space="0"/>
            </w:tcBorders>
            <w:tcW w:w="3649" w:type="dxa"/>
            <w:textDirection w:val="lrTb"/>
            <w:noWrap w:val="false"/>
          </w:tcPr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(для юридического лица указывается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фирменное наименование, для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физического лица указываются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фамилия, имя, отчество заявителя;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для лица, действующего по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доверенности, - фамилия, имя,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отчество лица, действующего на</w:t>
            </w:r>
            <w:r>
              <w:rPr>
                <w:rFonts w:eastAsia="Calibri"/>
                <w:sz w:val="20"/>
                <w:szCs w:val="20"/>
              </w:rPr>
            </w:r>
          </w:p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0"/>
                <w:szCs w:val="20"/>
              </w:rPr>
              <w:t xml:space="preserve">основании доверенности)</w:t>
            </w:r>
            <w:r>
              <w:rPr>
                <w:sz w:val="28"/>
                <w:szCs w:val="28"/>
              </w:rPr>
            </w:r>
          </w:p>
        </w:tc>
      </w:tr>
    </w:tbl>
    <w:p>
      <w:pPr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Заявление о приемке завершенного переустройства, и (или) перепланировки, и (или) иных работ нежилого (жилого) помещения</w:t>
      </w:r>
      <w:r>
        <w:rPr>
          <w:sz w:val="28"/>
          <w:szCs w:val="28"/>
        </w:rPr>
      </w:r>
    </w:p>
    <w:p>
      <w:pPr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4743"/>
        <w:gridCol w:w="4601"/>
      </w:tblGrid>
      <w:tr>
        <w:tblPrEx/>
        <w:trPr>
          <w:cantSplit/>
          <w:jc w:val="center"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Сведения о заявителе (физическое лицо)</w:t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Фамилия, имя, отчество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Адрес регистрации по месту жительства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Данные документа, удостоверяющего личность, - для гражданина, в том числе являющегося индивидуальным предпринимателем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jc w:val="center"/>
          <w:trHeight w:val="345"/>
        </w:trPr>
        <w:tc>
          <w:tcPr>
            <w:tcW w:w="4743" w:type="dxa"/>
            <w:textDirection w:val="lrTb"/>
            <w:noWrap w:val="false"/>
          </w:tcPr>
          <w:p>
            <w:pPr>
              <w:pStyle w:val="884"/>
              <w:ind w:firstLine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ИНН - для гражданина, в том числе являющемся индивидуальным предпринимателем</w:t>
            </w: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jc w:val="center"/>
          <w:trHeight w:val="345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ОГРНИП - для гражданина, являющегося индивидуальным предпринимателем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Контактный телефон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Почтовый адрес, адрес электронной 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jc w:val="center"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Сведения о заявителе (юридическое лицо)</w:t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pStyle w:val="928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Полное и сокращенное наименование 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Юридический адрес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ИНН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ОГРН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Фамилия, имя, отчество представителя организации, уполномоченного действовать без доверенности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Должность представителя, уполномоченного действовать без доверенности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Контактные телефоны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Почтовый адрес, адрес электронной </w:t>
            </w:r>
            <w:r>
              <w:rPr>
                <w:sz w:val="28"/>
                <w:szCs w:val="28"/>
              </w:rPr>
              <w:t xml:space="preserve">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cantSplit/>
          <w:jc w:val="center"/>
        </w:trPr>
        <w:tc>
          <w:tcPr>
            <w:gridSpan w:val="2"/>
            <w:tcW w:w="9344" w:type="dxa"/>
            <w:textDirection w:val="lrTb"/>
            <w:noWrap w:val="false"/>
          </w:tcPr>
          <w:p>
            <w:pPr>
              <w:ind w:firstLine="709"/>
              <w:jc w:val="center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Для лица, действующего на основании документа, подтверждающего полномочия действовать от имени заявителя</w:t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pStyle w:val="884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Фамилия, имя, отчество  (при наличии) лица, действующего от имени физического или юридического лица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 xml:space="preserve">Данные документа, подтверждающего полномочия лица действовать от имени физического или юридического лица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  <w:trHeight w:val="352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Контактные телефоны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  <w:tr>
        <w:tblPrEx/>
        <w:trPr>
          <w:jc w:val="center"/>
        </w:trPr>
        <w:tc>
          <w:tcPr>
            <w:tcW w:w="4743" w:type="dxa"/>
            <w:textDirection w:val="lrTb"/>
            <w:noWrap w:val="false"/>
          </w:tcPr>
          <w:p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Адрес электронной почты (при наличии)</w:t>
            </w:r>
            <w:r>
              <w:rPr>
                <w:sz w:val="28"/>
                <w:szCs w:val="28"/>
              </w:rPr>
            </w:r>
          </w:p>
        </w:tc>
        <w:tc>
          <w:tcPr>
            <w:tcW w:w="4601" w:type="dxa"/>
            <w:textDirection w:val="lrTb"/>
            <w:noWrap w:val="false"/>
          </w:tcPr>
          <w:p>
            <w:pPr>
              <w:ind w:firstLine="70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  <w:r>
              <w:rPr>
                <w:sz w:val="28"/>
                <w:szCs w:val="28"/>
              </w:rPr>
            </w:r>
          </w:p>
        </w:tc>
      </w:tr>
    </w:tbl>
    <w:p>
      <w:pPr>
        <w:jc w:val="center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Прошу назначить комиссию по приемке законченного переустройством и (или) перепланировкой _________________________ (нежилого/жилого) помещения приемочной комиссией.</w:t>
      </w:r>
      <w:r>
        <w:rPr>
          <w:sz w:val="28"/>
          <w:szCs w:val="28"/>
        </w:rPr>
      </w:r>
    </w:p>
    <w:p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Адрес объекта: _______________________________________________________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Способ выдачи документов (нужное отметить):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лично      ⁯  направление посредством почтового отправления с уведомлением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в МФЦ**     ⁯  в личном кабинете на Едином портале*</w:t>
      </w:r>
      <w:r>
        <w:rPr>
          <w:sz w:val="28"/>
          <w:szCs w:val="28"/>
        </w:rPr>
      </w:r>
    </w:p>
    <w:p>
      <w:p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⁯  по электронной почте.   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* в случае если заявление подано посредством Единого портала.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** в случае если заявление подано через МФЦ.</w:t>
      </w:r>
      <w:r>
        <w:rPr>
          <w:sz w:val="28"/>
          <w:szCs w:val="28"/>
        </w:rPr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«____»_______________20____г.                                ___________________</w:t>
      </w:r>
      <w:r>
        <w:rPr>
          <w:sz w:val="28"/>
          <w:szCs w:val="28"/>
        </w:rPr>
      </w:r>
    </w:p>
    <w:p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(подпись)</w:t>
      </w:r>
      <w:r>
        <w:rPr>
          <w:sz w:val="28"/>
          <w:szCs w:val="28"/>
        </w:rPr>
      </w:r>
    </w:p>
    <w:p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  <w:r>
        <w:rPr>
          <w:b/>
          <w:bCs/>
          <w:sz w:val="28"/>
          <w:szCs w:val="28"/>
        </w:rPr>
      </w:r>
    </w:p>
    <w:p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  <w:r>
        <w:rPr>
          <w:b/>
          <w:bCs/>
          <w:sz w:val="28"/>
          <w:szCs w:val="28"/>
        </w:rPr>
      </w:r>
    </w:p>
    <w:p>
      <w:pPr>
        <w:jc w:val="right"/>
        <w:rPr>
          <w:sz w:val="28"/>
          <w:szCs w:val="28"/>
          <w:highlight w:val="none"/>
        </w:rPr>
      </w:pPr>
      <w:r>
        <w:rPr>
          <w:sz w:val="28"/>
          <w:szCs w:val="28"/>
        </w:rPr>
        <w:br w:type="page" w:clear="all"/>
      </w:r>
      <w:r>
        <w:rPr>
          <w:sz w:val="28"/>
          <w:szCs w:val="28"/>
        </w:rPr>
        <w:t xml:space="preserve">Приложение 3</w:t>
      </w:r>
      <w:r>
        <w:rPr>
          <w:sz w:val="28"/>
          <w:szCs w:val="28"/>
          <w:highlight w:val="none"/>
        </w:rPr>
      </w:r>
    </w:p>
    <w:p>
      <w:pPr>
        <w:jc w:val="right"/>
        <w:rPr>
          <w:sz w:val="28"/>
          <w:szCs w:val="28"/>
        </w:rPr>
      </w:pPr>
      <w:r>
        <w:rPr>
          <w:sz w:val="28"/>
          <w:szCs w:val="28"/>
          <w:highlight w:val="none"/>
        </w:rPr>
        <w:t xml:space="preserve">к административному регламенту</w:t>
      </w:r>
      <w:r>
        <w:rPr>
          <w:sz w:val="28"/>
          <w:szCs w:val="28"/>
          <w:highlight w:val="none"/>
        </w:rPr>
      </w:r>
    </w:p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725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БЛОК-СХЕМА</w:t>
      </w:r>
      <w:r>
        <w:rPr>
          <w:rFonts w:ascii="Times New Roman" w:hAnsi="Times New Roman"/>
          <w:b/>
          <w:sz w:val="28"/>
          <w:szCs w:val="28"/>
        </w:rPr>
      </w:r>
    </w:p>
    <w:p>
      <w:pPr>
        <w:pStyle w:val="725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предоставления муниципальной услуги</w:t>
      </w:r>
      <w:r>
        <w:rPr>
          <w:rStyle w:val="869"/>
          <w:rFonts w:ascii="Times New Roman" w:hAnsi="Times New Roman"/>
          <w:b/>
          <w:sz w:val="28"/>
          <w:szCs w:val="28"/>
        </w:rPr>
        <w:footnoteReference w:id="4"/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</w:r>
    </w:p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540"/>
        <w:jc w:val="center"/>
        <w:widowControl w:val="off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Принятие решения о переводе жилого помещения в нежилое помещение или нежилого помещения в жилое помещение или об отказе в переводе жилого помещения в нежилое помещение и нежилого помещения в жилое помещение</w:t>
      </w:r>
      <w:r>
        <w:rPr>
          <w:b/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1E0" w:firstRow="1" w:lastRow="1" w:firstColumn="1" w:lastColumn="1" w:noHBand="0" w:noVBand="0"/>
      </w:tblPr>
      <w:tblGrid>
        <w:gridCol w:w="9072"/>
      </w:tblGrid>
      <w:tr>
        <w:tblPrEx/>
        <w:trPr>
          <w:jc w:val="center"/>
          <w:trHeight w:val="776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9072" w:type="dxa"/>
            <w:textDirection w:val="lrTb"/>
            <w:noWrap w:val="false"/>
          </w:tcPr>
          <w:p>
            <w:pPr>
              <w:pStyle w:val="884"/>
              <w:ind w:firstLine="0"/>
              <w:jc w:val="center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Прием и регистрация заявления и прилагаемых документов,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(пункт 3.2 настоящего административного регламента, срок выполнения данной административной процедуры составляет 1 рабочий день со дня поступления </w:t>
            </w:r>
            <w:hyperlink r:id="rId18" w:tooltip="                                 ЗАЯВЛЕНИЕ" w:anchor="Par428" w:history="1">
              <w:r>
                <w:rPr>
                  <w:rStyle w:val="866"/>
                  <w:rFonts w:ascii="Times New Roman" w:hAnsi="Times New Roman" w:cs="Arial"/>
                  <w:i/>
                  <w:color w:val="000000"/>
                  <w:sz w:val="24"/>
                  <w:szCs w:val="24"/>
                </w:rPr>
                <w:t xml:space="preserve">заявления</w:t>
              </w:r>
            </w:hyperlink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документов).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</w:tr>
    </w:tbl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524288" behindDoc="0" locked="0" layoutInCell="1" allowOverlap="1">
                <wp:simplePos x="0" y="0"/>
                <wp:positionH relativeFrom="column">
                  <wp:posOffset>3196590</wp:posOffset>
                </wp:positionH>
                <wp:positionV relativeFrom="paragraph">
                  <wp:posOffset>25400</wp:posOffset>
                </wp:positionV>
                <wp:extent cx="0" cy="368300"/>
                <wp:effectExtent l="0" t="0" r="0" b="0"/>
                <wp:wrapNone/>
                <wp:docPr id="1" name="shape 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0" cy="3683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0" o:spid="_x0000_s0" style="position:absolute;left:0;text-align:left;z-index:524288;mso-wrap-distance-left:9.00pt;mso-wrap-distance-top:0.00pt;mso-wrap-distance-right:9.00pt;mso-wrap-distance-bottom:0.00pt;visibility:visible;" from="251.7pt,2.0pt" to="251.7pt,31.0pt" fillcolor="#FFFFFF" strokecolor="#000000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5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1E0" w:firstRow="1" w:lastRow="1" w:firstColumn="1" w:lastColumn="1" w:noHBand="0" w:noVBand="0"/>
      </w:tblPr>
      <w:tblGrid>
        <w:gridCol w:w="9072"/>
      </w:tblGrid>
      <w:tr>
        <w:tblPrEx/>
        <w:trPr>
          <w:jc w:val="center"/>
          <w:trHeight w:val="1007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9072" w:type="dxa"/>
            <w:textDirection w:val="lrTb"/>
            <w:noWrap w:val="false"/>
          </w:tcPr>
          <w:p>
            <w:pPr>
              <w:pStyle w:val="884"/>
              <w:ind w:firstLine="0"/>
              <w:jc w:val="center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Рассмотрение заявления и прилагаемых документов, необходимых для предоставления муниципальной услуги, принятие решения о переводе (отказе в переводе) помещения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(пункт 3.3 настоящего административного регламента, срок выполнения административной процедуры – в течение 43 календарных дней со дня передачи зарегистрированного заявления и документов, необходимых для предоставления муниципальной услуги)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</w:tr>
    </w:tbl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3" behindDoc="0" locked="0" layoutInCell="1" allowOverlap="1">
                <wp:simplePos x="0" y="0"/>
                <wp:positionH relativeFrom="column">
                  <wp:posOffset>3196590</wp:posOffset>
                </wp:positionH>
                <wp:positionV relativeFrom="paragraph">
                  <wp:posOffset>-1269</wp:posOffset>
                </wp:positionV>
                <wp:extent cx="0" cy="412750"/>
                <wp:effectExtent l="0" t="0" r="0" b="0"/>
                <wp:wrapNone/>
                <wp:docPr id="2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0" cy="41275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" o:spid="_x0000_s1" style="position:absolute;left:0;text-align:left;z-index:251658243;mso-wrap-distance-left:9.00pt;mso-wrap-distance-top:0.00pt;mso-wrap-distance-right:9.00pt;mso-wrap-distance-bottom:0.00pt;visibility:visible;" from="251.7pt,-0.1pt" to="251.7pt,32.4pt" fillcolor="#FFFFFF" strokecolor="#000000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1E0" w:firstRow="1" w:lastRow="1" w:firstColumn="1" w:lastColumn="1" w:noHBand="0" w:noVBand="0"/>
      </w:tblPr>
      <w:tblGrid>
        <w:gridCol w:w="9072"/>
      </w:tblGrid>
      <w:tr>
        <w:tblPrEx/>
        <w:trPr>
          <w:jc w:val="center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9072" w:type="dxa"/>
            <w:textDirection w:val="lrTb"/>
            <w:noWrap w:val="false"/>
          </w:tcPr>
          <w:p>
            <w:pPr>
              <w:pStyle w:val="884"/>
              <w:ind w:firstLine="0"/>
              <w:jc w:val="center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Направление (вручение) заявителю уведомления о переводе (отказе в переводе) помещения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(пункт 3.4 настоящего административного регламента – 3 рабочих дня со дня принятия решения о переводе (отказе в переводе) помещения)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</w:tr>
    </w:tbl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jc w:val="center"/>
        <w:rPr>
          <w:b/>
          <w:sz w:val="28"/>
          <w:szCs w:val="28"/>
          <w:shd w:val="clear" w:color="auto" w:fill="ffffff"/>
        </w:rPr>
        <w:outlineLvl w:val="0"/>
      </w:pPr>
      <w:r>
        <w:rPr>
          <w:b/>
          <w:sz w:val="28"/>
          <w:szCs w:val="28"/>
          <w:shd w:val="clear" w:color="auto" w:fill="ffffff"/>
        </w:rPr>
        <w:t xml:space="preserve">Подготовка акта приемочной комиссии, подтверждающего завершение переустройства, и (или) перепланировки, и (или) иных работ</w:t>
      </w:r>
      <w:r>
        <w:rPr>
          <w:b/>
          <w:sz w:val="28"/>
          <w:szCs w:val="28"/>
          <w:shd w:val="clear" w:color="auto" w:fill="ffffff"/>
        </w:rPr>
      </w:r>
    </w:p>
    <w:p>
      <w:pPr>
        <w:jc w:val="center"/>
        <w:rPr>
          <w:b/>
          <w:sz w:val="28"/>
          <w:szCs w:val="28"/>
        </w:rPr>
        <w:outlineLvl w:val="0"/>
      </w:pPr>
      <w:r>
        <w:rPr>
          <w:b/>
          <w:sz w:val="28"/>
          <w:szCs w:val="28"/>
        </w:rPr>
      </w:r>
      <w:r>
        <w:rPr>
          <w:b/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9180"/>
      </w:tblGrid>
      <w:tr>
        <w:tblPrEx/>
        <w:trPr>
          <w:jc w:val="center"/>
        </w:trPr>
        <w:tc>
          <w:tcPr>
            <w:tcW w:w="9180" w:type="dxa"/>
            <w:textDirection w:val="lrTb"/>
            <w:noWrap w:val="false"/>
          </w:tcPr>
          <w:p>
            <w:pPr>
              <w:ind w:firstLine="540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Прием и регистрация заявления о приемке завершенного переустройства, и (или) перепланировки, и (или) иных работ </w:t>
            </w:r>
            <w:r>
              <w:rPr>
                <w:sz w:val="28"/>
                <w:szCs w:val="28"/>
              </w:rPr>
            </w:r>
          </w:p>
          <w:p>
            <w:pPr>
              <w:ind w:firstLine="540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i/>
              </w:rPr>
              <w:t xml:space="preserve">(пункт 3.5 настоящего административного регламента, срок выполнения данной административной процедуры составляет 1 рабочий день со дня поступления заявления о приемке в Уполномоченный орган)</w:t>
            </w:r>
            <w:r>
              <w:rPr>
                <w:sz w:val="28"/>
                <w:szCs w:val="28"/>
              </w:rPr>
            </w:r>
          </w:p>
        </w:tc>
      </w:tr>
    </w:tbl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1" behindDoc="0" locked="0" layoutInCell="1" allowOverlap="1">
                <wp:simplePos x="0" y="0"/>
                <wp:positionH relativeFrom="column">
                  <wp:posOffset>3196590</wp:posOffset>
                </wp:positionH>
                <wp:positionV relativeFrom="paragraph">
                  <wp:posOffset>6350</wp:posOffset>
                </wp:positionV>
                <wp:extent cx="0" cy="411480"/>
                <wp:effectExtent l="0" t="0" r="0" b="0"/>
                <wp:wrapNone/>
                <wp:docPr id="3" name="shap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0" cy="41148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" o:spid="_x0000_s2" style="position:absolute;left:0;text-align:left;z-index:251658241;mso-wrap-distance-left:9.00pt;mso-wrap-distance-top:0.00pt;mso-wrap-distance-right:9.00pt;mso-wrap-distance-bottom:0.00pt;visibility:visible;" from="251.7pt,0.5pt" to="251.7pt,32.9pt" fillcolor="#FFFFFF" strokecolor="#000000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9180"/>
      </w:tblGrid>
      <w:tr>
        <w:tblPrEx/>
        <w:trPr>
          <w:jc w:val="center"/>
        </w:trPr>
        <w:tc>
          <w:tcPr>
            <w:tcW w:w="9180" w:type="dxa"/>
            <w:textDirection w:val="lrTb"/>
            <w:noWrap w:val="false"/>
          </w:tcPr>
          <w:p>
            <w:pPr>
              <w:pStyle w:val="884"/>
              <w:ind w:firstLine="0"/>
              <w:jc w:val="center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Рассмотрение заявления, оформление акта приемочной комиссии, подтверждающего завершение переустройства и (или) перепланировки, и (или) иных работ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(пункт 3.6 настоящего административного регламента – в течение 26 календарных дней со дня получения должностным лицом, ответственным за предоставление муниципальной услуги заявления о приемке на рассмотрение)</w:t>
            </w:r>
            <w:r>
              <w:rPr>
                <w:rFonts w:ascii="Times New Roman" w:hAnsi="Times New Roman" w:cs="Times New Roman"/>
                <w:sz w:val="28"/>
                <w:szCs w:val="28"/>
              </w:rPr>
            </w:r>
          </w:p>
        </w:tc>
      </w:tr>
    </w:tbl>
    <w:p>
      <w:pPr>
        <w:pStyle w:val="884"/>
        <w:ind w:firstLine="0"/>
        <w:jc w:val="center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mc:AlternateContent>
          <mc:Choice Requires="wpg">
            <w:drawing>
              <wp:anchor xmlns:wp="http://schemas.openxmlformats.org/drawingml/2006/wordprocessingDrawing" xmlns:wp14="http://schemas.microsoft.com/office/word/2010/wordprocessingDrawing" distT="0" distB="0" distL="114300" distR="114300" simplePos="0" relativeHeight="251658242" behindDoc="0" locked="0" layoutInCell="1" allowOverlap="1">
                <wp:simplePos x="0" y="0"/>
                <wp:positionH relativeFrom="column">
                  <wp:posOffset>3196590</wp:posOffset>
                </wp:positionH>
                <wp:positionV relativeFrom="paragraph">
                  <wp:posOffset>2540</wp:posOffset>
                </wp:positionV>
                <wp:extent cx="0" cy="417830"/>
                <wp:effectExtent l="0" t="0" r="0" b="0"/>
                <wp:wrapNone/>
                <wp:docPr id="4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Pr id="0" name=""/>
                      <wps:cNvSpPr/>
                      <wps:spPr bwMode="auto">
                        <a:xfrm>
                          <a:off x="0" y="0"/>
                          <a:ext cx="0" cy="4178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" o:spid="_x0000_s3" style="position:absolute;left:0;text-align:left;z-index:251658242;mso-wrap-distance-left:9.00pt;mso-wrap-distance-top:0.00pt;mso-wrap-distance-right:9.00pt;mso-wrap-distance-bottom:0.00pt;visibility:visible;" from="251.7pt,0.2pt" to="251.7pt,33.1pt" fillcolor="#FFFFFF" strokecolor="#000000"/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</w:r>
    </w:p>
    <w:p>
      <w:pPr>
        <w:jc w:val="center"/>
        <w:widowControl w:val="o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tbl>
      <w:tblPr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9180"/>
      </w:tblGrid>
      <w:tr>
        <w:tblPrEx/>
        <w:trPr>
          <w:jc w:val="center"/>
        </w:trPr>
        <w:tc>
          <w:tcPr>
            <w:tcW w:w="9180" w:type="dxa"/>
            <w:textDirection w:val="lrTb"/>
            <w:noWrap w:val="false"/>
          </w:tcPr>
          <w:p>
            <w:pPr>
              <w:ind w:firstLine="540"/>
              <w:jc w:val="center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Направление (вручение) заявителю утвержденного акта приемочной комиссии, направление акта приемочной комиссии в территориальный </w:t>
            </w:r>
            <w:r>
              <w:rPr>
                <w:sz w:val="28"/>
                <w:szCs w:val="28"/>
              </w:rPr>
              <w:t xml:space="preserve">орган федерального органа исполнительной власти, уполномоченного Правительством Российской Федерации на осуществление государственного кадастрового учета, государственн</w:t>
            </w:r>
            <w:r>
              <w:rPr>
                <w:sz w:val="28"/>
                <w:szCs w:val="28"/>
              </w:rPr>
              <w:t xml:space="preserve">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либо направление (вручение) заявителю отказа в переводе помещения с мотивированным объяснением</w:t>
            </w:r>
            <w:r>
              <w:rPr>
                <w:i/>
              </w:rPr>
              <w:t xml:space="preserve"> (пункт 3.7 настоящего административного регламента - в течение 26 календарных дней со дня получения должностным лицом, ответственным за предоставление муниципальной услуги заявления о приемке на рассмотрение)</w:t>
            </w:r>
            <w:r>
              <w:rPr>
                <w:sz w:val="28"/>
                <w:szCs w:val="28"/>
              </w:rPr>
            </w:r>
          </w:p>
        </w:tc>
      </w:tr>
    </w:tbl>
    <w:p>
      <w:pPr>
        <w:ind w:firstLine="540"/>
        <w:jc w:val="center"/>
        <w:widowControl w:val="off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pStyle w:val="884"/>
        <w:ind w:firstLine="0"/>
        <w:jc w:val="right"/>
        <w:widowControl/>
        <w:rPr>
          <w:rFonts w:ascii="Times New Roman" w:hAnsi="Times New Roman" w:cs="Times New Roman"/>
          <w:sz w:val="28"/>
          <w:szCs w:val="28"/>
        </w:rPr>
        <w:outlineLvl w:val="1"/>
      </w:pPr>
      <w:r>
        <w:rPr>
          <w:sz w:val="28"/>
          <w:szCs w:val="28"/>
        </w:rPr>
        <w:br w:type="page" w:clear="all"/>
      </w:r>
      <w:r>
        <w:rPr>
          <w:rFonts w:ascii="Times New Roman" w:hAnsi="Times New Roman" w:cs="Times New Roman"/>
          <w:sz w:val="28"/>
          <w:szCs w:val="28"/>
        </w:rPr>
        <w:t xml:space="preserve">Приложение 4 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right"/>
        <w:widowControl/>
        <w:rPr>
          <w:rFonts w:ascii="Times New Roman" w:hAnsi="Times New Roman" w:cs="Times New Roman"/>
          <w:sz w:val="28"/>
          <w:szCs w:val="28"/>
        </w:rPr>
        <w:outlineLvl w:val="1"/>
      </w:pPr>
      <w:r>
        <w:rPr>
          <w:rFonts w:ascii="Times New Roman" w:hAnsi="Times New Roman" w:cs="Times New Roman"/>
          <w:sz w:val="28"/>
          <w:szCs w:val="28"/>
        </w:rPr>
        <w:t xml:space="preserve">к административному регламенту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right"/>
        <w:widowControl/>
        <w:rPr>
          <w:rFonts w:ascii="Times New Roman" w:hAnsi="Times New Roman" w:cs="Times New Roman"/>
          <w:sz w:val="28"/>
          <w:szCs w:val="28"/>
        </w:rPr>
        <w:outlineLvl w:val="1"/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both"/>
        <w:widowControl/>
        <w:rPr>
          <w:rFonts w:ascii="Times New Roman" w:hAnsi="Times New Roman" w:cs="Times New Roman"/>
          <w:sz w:val="28"/>
          <w:szCs w:val="28"/>
        </w:rPr>
        <w:outlineLvl w:val="1"/>
      </w:pPr>
      <w:r>
        <w:rPr>
          <w:rFonts w:ascii="Times New Roman" w:hAnsi="Times New Roman" w:cs="Times New Roman"/>
          <w:sz w:val="28"/>
          <w:szCs w:val="28"/>
        </w:rPr>
        <w:tab/>
        <w:t xml:space="preserve">Муниципальное казенное учреждение «Многофункциональный центр предоставления государственных и муниципальных услуг в Вытегорском округе»</w:t>
      </w:r>
      <w:r>
        <w:rPr>
          <w:rFonts w:ascii="Times New Roman" w:hAnsi="Times New Roman" w:cs="Times New Roman"/>
          <w:sz w:val="28"/>
          <w:szCs w:val="28"/>
        </w:rPr>
      </w:r>
    </w:p>
    <w:p>
      <w:pPr>
        <w:pStyle w:val="884"/>
        <w:ind w:firstLine="0"/>
        <w:jc w:val="both"/>
        <w:widowControl/>
        <w:rPr>
          <w:rFonts w:ascii="Times New Roman" w:hAnsi="Times New Roman" w:cs="Times New Roman"/>
          <w:sz w:val="28"/>
          <w:szCs w:val="28"/>
        </w:rPr>
        <w:outlineLvl w:val="1"/>
      </w:pPr>
      <w:r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Почтовый адрес : 162900, Вологодская область, г</w:t>
      </w:r>
      <w:r>
        <w:rPr>
          <w:sz w:val="28"/>
          <w:szCs w:val="28"/>
        </w:rPr>
        <w:t xml:space="preserve">.В</w:t>
      </w:r>
      <w:r>
        <w:rPr>
          <w:sz w:val="28"/>
          <w:szCs w:val="28"/>
        </w:rPr>
        <w:t xml:space="preserve">ытегра, </w:t>
      </w:r>
      <w:r>
        <w:rPr>
          <w:sz w:val="28"/>
          <w:szCs w:val="28"/>
        </w:rPr>
        <w:t xml:space="preserve">пр-кт</w:t>
      </w:r>
      <w:r>
        <w:rPr>
          <w:sz w:val="28"/>
          <w:szCs w:val="28"/>
        </w:rPr>
        <w:t xml:space="preserve"> Ленина, д.68</w:t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Тел.:8(81746) 2-22-44, 8 (81746)2-25-75</w:t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График работы и приема документов:</w:t>
      </w:r>
      <w:r>
        <w:rPr>
          <w:sz w:val="28"/>
          <w:szCs w:val="28"/>
        </w:rPr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Понедельник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textDirection w:val="lrTb"/>
            <w:noWrap w:val="false"/>
          </w:tcPr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9.00-15.00</w:t>
            </w:r>
            <w:r>
              <w:rPr>
                <w:rFonts w:eastAsia="Calibri" w:cs="Calibri"/>
                <w:sz w:val="28"/>
                <w:szCs w:val="28"/>
              </w:rPr>
              <w:t xml:space="preserve"> 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 w:firstLine="720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</w:t>
            </w:r>
            <w:r>
              <w:rPr>
                <w:rFonts w:eastAsia="Calibri" w:cs="Calibri"/>
                <w:sz w:val="28"/>
                <w:szCs w:val="28"/>
              </w:rPr>
              <w:t xml:space="preserve">и</w:t>
            </w:r>
            <w:r>
              <w:rPr>
                <w:rFonts w:eastAsia="Calibri" w:cs="Calibri"/>
                <w:sz w:val="28"/>
                <w:szCs w:val="28"/>
              </w:rPr>
              <w:t xml:space="preserve">ем документов до 14.30)</w:t>
            </w:r>
            <w:r>
              <w:rPr>
                <w:rFonts w:eastAsia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Вторник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8.00-</w:t>
            </w:r>
            <w:r>
              <w:rPr>
                <w:rFonts w:eastAsia="Calibri" w:cs="Calibri"/>
                <w:sz w:val="28"/>
                <w:szCs w:val="28"/>
              </w:rPr>
              <w:t xml:space="preserve">20</w:t>
            </w:r>
            <w:r>
              <w:rPr>
                <w:rFonts w:eastAsia="Calibri" w:cs="Calibri"/>
                <w:sz w:val="28"/>
                <w:szCs w:val="28"/>
              </w:rPr>
              <w:t xml:space="preserve">.00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(прием документов с 10.00 до 19.30)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Среда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8</w:t>
            </w:r>
            <w:r>
              <w:rPr>
                <w:rFonts w:eastAsia="Calibri" w:cs="Calibri"/>
                <w:sz w:val="28"/>
                <w:szCs w:val="28"/>
              </w:rPr>
              <w:t xml:space="preserve">.00-1</w:t>
            </w:r>
            <w:r>
              <w:rPr>
                <w:rFonts w:eastAsia="Calibri" w:cs="Calibri"/>
                <w:sz w:val="28"/>
                <w:szCs w:val="28"/>
              </w:rPr>
              <w:t xml:space="preserve">7</w:t>
            </w:r>
            <w:r>
              <w:rPr>
                <w:rFonts w:eastAsia="Calibri" w:cs="Calibri"/>
                <w:sz w:val="28"/>
                <w:szCs w:val="28"/>
              </w:rPr>
              <w:t xml:space="preserve">.00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(при</w:t>
            </w:r>
            <w:r>
              <w:rPr>
                <w:rFonts w:eastAsia="Calibri" w:cs="Calibri"/>
                <w:sz w:val="28"/>
                <w:szCs w:val="28"/>
              </w:rPr>
              <w:t xml:space="preserve">ем документов до 16</w:t>
            </w:r>
            <w:r>
              <w:rPr>
                <w:rFonts w:eastAsia="Calibri" w:cs="Calibri"/>
                <w:sz w:val="28"/>
                <w:szCs w:val="28"/>
              </w:rPr>
              <w:t xml:space="preserve">.30)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Четверг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710" w:type="dxa"/>
            <w:vAlign w:val="center"/>
            <w:textDirection w:val="lrTb"/>
            <w:noWrap w:val="false"/>
          </w:tcPr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8.00-17</w:t>
            </w:r>
            <w:r>
              <w:rPr>
                <w:rFonts w:eastAsia="Calibri" w:cs="Calibri"/>
                <w:sz w:val="28"/>
                <w:szCs w:val="28"/>
              </w:rPr>
              <w:t xml:space="preserve">.00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 w:firstLine="720"/>
              <w:jc w:val="center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(при</w:t>
            </w:r>
            <w:r>
              <w:rPr>
                <w:rFonts w:eastAsia="Calibri" w:cs="Calibri"/>
                <w:sz w:val="28"/>
                <w:szCs w:val="28"/>
              </w:rPr>
              <w:t xml:space="preserve">ем документов до 16</w:t>
            </w:r>
            <w:r>
              <w:rPr>
                <w:rFonts w:eastAsia="Calibri" w:cs="Calibri"/>
                <w:sz w:val="28"/>
                <w:szCs w:val="28"/>
              </w:rPr>
              <w:t xml:space="preserve">.30)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Пятница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textDirection w:val="lrTb"/>
            <w:noWrap w:val="false"/>
          </w:tcPr>
          <w:p>
            <w:pPr>
              <w:ind w:right="-5" w:firstLine="720"/>
              <w:jc w:val="center"/>
              <w:widowControl w:val="off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8</w:t>
            </w:r>
            <w:r>
              <w:rPr>
                <w:rFonts w:eastAsia="Calibri" w:cs="Calibri"/>
                <w:sz w:val="28"/>
                <w:szCs w:val="28"/>
              </w:rPr>
              <w:t xml:space="preserve">.00-18.00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 w:firstLine="720"/>
              <w:jc w:val="center"/>
              <w:widowControl w:val="off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(при</w:t>
            </w:r>
            <w:r>
              <w:rPr>
                <w:rFonts w:eastAsia="Calibri" w:cs="Calibri"/>
                <w:sz w:val="28"/>
                <w:szCs w:val="28"/>
              </w:rPr>
              <w:t xml:space="preserve">ем документов до 16</w:t>
            </w:r>
            <w:r>
              <w:rPr>
                <w:rFonts w:eastAsia="Calibri" w:cs="Calibri"/>
                <w:sz w:val="28"/>
                <w:szCs w:val="28"/>
              </w:rPr>
              <w:t xml:space="preserve">.30)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Суббота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textDirection w:val="lrTb"/>
            <w:noWrap w:val="false"/>
          </w:tcPr>
          <w:p>
            <w:pPr>
              <w:ind w:right="-5" w:firstLine="720"/>
              <w:jc w:val="center"/>
              <w:widowControl w:val="off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9.00-15.00</w:t>
            </w:r>
            <w:r>
              <w:rPr>
                <w:rFonts w:eastAsia="Calibri" w:cs="Calibri"/>
                <w:sz w:val="28"/>
                <w:szCs w:val="28"/>
              </w:rPr>
            </w:r>
          </w:p>
          <w:p>
            <w:pPr>
              <w:ind w:right="-5" w:firstLine="720"/>
              <w:jc w:val="center"/>
              <w:widowControl w:val="off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(прием документов до 14.30)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  <w:tr>
        <w:tblPrEx/>
        <w:trPr>
          <w:trHeight w:val="1"/>
        </w:trPr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53" w:type="dxa"/>
            <w:textDirection w:val="lrTb"/>
            <w:noWrap w:val="false"/>
          </w:tcPr>
          <w:p>
            <w:pPr>
              <w:ind w:right="-5" w:firstLine="720"/>
              <w:jc w:val="both"/>
              <w:widowControl w:val="off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Воскресенье</w:t>
            </w:r>
            <w:r>
              <w:rPr>
                <w:sz w:val="28"/>
                <w:szCs w:val="28"/>
              </w:rPr>
            </w:r>
          </w:p>
        </w:tc>
        <w:tc>
          <w:tcPr>
            <w:shd w:val="clear" w:color="auto" w:fill="ffffff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108" w:type="dxa"/>
              <w:top w:w="0" w:type="dxa"/>
              <w:right w:w="108" w:type="dxa"/>
              <w:bottom w:w="0" w:type="dxa"/>
            </w:tcMar>
            <w:tcW w:w="4710" w:type="dxa"/>
            <w:textDirection w:val="lrTb"/>
            <w:noWrap w:val="false"/>
          </w:tcPr>
          <w:p>
            <w:pPr>
              <w:ind w:right="-5" w:firstLine="720"/>
              <w:jc w:val="center"/>
              <w:widowControl w:val="off"/>
              <w:rPr>
                <w:rFonts w:eastAsia="Calibri" w:cs="Calibri"/>
                <w:sz w:val="28"/>
                <w:szCs w:val="28"/>
              </w:rPr>
            </w:pPr>
            <w:r>
              <w:rPr>
                <w:rFonts w:eastAsia="Calibri" w:cs="Calibri"/>
                <w:sz w:val="28"/>
                <w:szCs w:val="28"/>
              </w:rPr>
              <w:t xml:space="preserve">Выходной</w:t>
            </w:r>
            <w:r>
              <w:rPr>
                <w:rFonts w:eastAsia="Calibri" w:cs="Calibri"/>
                <w:sz w:val="28"/>
                <w:szCs w:val="28"/>
              </w:rPr>
              <w:t xml:space="preserve"> день</w:t>
            </w:r>
            <w:r>
              <w:rPr>
                <w:rFonts w:eastAsia="Calibri" w:cs="Calibri"/>
                <w:sz w:val="28"/>
                <w:szCs w:val="28"/>
              </w:rPr>
            </w:r>
          </w:p>
        </w:tc>
      </w:tr>
    </w:tbl>
    <w:p>
      <w:pPr>
        <w:ind w:firstLine="720"/>
        <w:jc w:val="both"/>
        <w:tabs>
          <w:tab w:val="left" w:pos="851" w:leader="none"/>
        </w:tabs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jc w:val="right"/>
      </w:pPr>
      <w:r/>
      <w:r/>
    </w:p>
    <w:p>
      <w:pPr>
        <w:jc w:val="center"/>
        <w:rPr>
          <w:sz w:val="52"/>
          <w:szCs w:val="52"/>
        </w:rPr>
      </w:pPr>
      <w:r>
        <w:rPr>
          <w:sz w:val="52"/>
          <w:szCs w:val="52"/>
        </w:rPr>
      </w:r>
      <w:r>
        <w:rPr>
          <w:sz w:val="52"/>
          <w:szCs w:val="52"/>
        </w:rPr>
      </w:r>
    </w:p>
    <w:sectPr>
      <w:footnotePr/>
      <w:endnotePr/>
      <w:type w:val="nextPage"/>
      <w:pgSz w:w="11906" w:h="16838" w:orient="portrait"/>
      <w:pgMar w:top="425" w:right="707" w:bottom="284" w:left="851" w:header="720" w:footer="720" w:gutter="0"/>
      <w:pgNumType w:start="1"/>
      <w:cols w:num="1" w:sep="0" w:space="720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r>
        <w:separator/>
      </w:r>
      <w:r/>
    </w:p>
  </w:endnote>
  <w:endnote w:type="continuationSeparator" w:id="0">
    <w:p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egoe UI">
    <w:panose1 w:val="020B0502040504020204"/>
  </w:font>
  <w:font w:name="Verdana">
    <w:panose1 w:val="020B0604030504040204"/>
  </w:font>
  <w:font w:name="Tinos">
    <w:panose1 w:val="02020603050405020304"/>
  </w:font>
  <w:font w:name="Tahoma">
    <w:panose1 w:val="020B0604030504040204"/>
  </w:font>
  <w:font w:name="Courier New">
    <w:panose1 w:val="02070409020205020404"/>
  </w:font>
  <w:font w:name="Times New Roman">
    <w:panose1 w:val="02020603050405020304"/>
  </w:font>
  <w:font w:name="Calibri">
    <w:panose1 w:val="020F0502020204030204"/>
  </w:font>
  <w:font w:name="Arial Unicode MS">
    <w:panose1 w:val="020B0604020202020204"/>
  </w:font>
  <w:font w:name="Arial">
    <w:panose1 w:val="020B0604020202020204"/>
  </w:font>
  <w:font w:name="Cambria">
    <w:panose1 w:val="02040503050406030204"/>
  </w:font>
  <w:font w:name="Liberation Sans">
    <w:panose1 w:val="020B060402020202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r>
        <w:separator/>
      </w:r>
      <w:r/>
    </w:p>
  </w:footnote>
  <w:footnote w:type="continuationSeparator" w:id="0">
    <w:p>
      <w:r>
        <w:continuationSeparator/>
      </w:r>
      <w:r/>
    </w:p>
  </w:footnote>
  <w:footnote w:id="2">
    <w:p>
      <w:pPr>
        <w:pStyle w:val="867"/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</w:r>
      <w:r>
        <w:rPr>
          <w:i/>
          <w:sz w:val="22"/>
          <w:szCs w:val="22"/>
        </w:rPr>
      </w:r>
    </w:p>
  </w:footnote>
  <w:footnote w:id="3">
    <w:p>
      <w:pPr>
        <w:pStyle w:val="867"/>
        <w:jc w:val="both"/>
        <w:rPr>
          <w:i/>
        </w:rPr>
      </w:pPr>
      <w:r>
        <w:rPr>
          <w:i/>
        </w:rPr>
      </w:r>
      <w:r>
        <w:rPr>
          <w:i/>
        </w:rPr>
      </w:r>
    </w:p>
  </w:footnote>
  <w:footnote w:id="4">
    <w:p>
      <w:pPr>
        <w:pStyle w:val="867"/>
        <w:jc w:val="both"/>
        <w:rPr>
          <w:sz w:val="18"/>
          <w:szCs w:val="18"/>
        </w:rPr>
      </w:pPr>
      <w:r>
        <w:rPr>
          <w:rStyle w:val="869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i/>
          <w:sz w:val="18"/>
          <w:szCs w:val="18"/>
        </w:rPr>
        <w:t xml:space="preserve">Блок-схема включается в кач</w:t>
      </w:r>
      <w:r>
        <w:rPr>
          <w:i/>
          <w:sz w:val="18"/>
          <w:szCs w:val="18"/>
        </w:rPr>
        <w:t xml:space="preserve">естве приложения к административному регламенту при наличии указанного требования в Порядке разработки и утверждения административных регламентов предоставления муниципальных услуг органами местного самоуправления, определенном муниципальным правовым актом</w:t>
      </w:r>
      <w:r>
        <w:rPr>
          <w:sz w:val="18"/>
          <w:szCs w:val="18"/>
        </w:rPr>
        <w:t xml:space="preserve">.</w:t>
      </w:r>
      <w:r>
        <w:rPr>
          <w:sz w:val="18"/>
          <w:szCs w:val="18"/>
        </w:rPr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924"/>
      <w:tabs>
        <w:tab w:val="center" w:pos="4564" w:leader="none"/>
      </w:tabs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)"/>
      <w:lvlJc w:val="left"/>
      <w:pPr>
        <w:ind w:left="1440" w:hanging="360"/>
      </w:pPr>
      <w:rPr>
        <w:rFonts w:cs="Times New Roman"/>
      </w:rPr>
    </w:lvl>
    <w:lvl w:ilvl="1">
      <w:start w:val="1"/>
      <w:numFmt w:val="lowerLetter"/>
      <w:isLgl w:val="false"/>
      <w:suff w:val="tab"/>
      <w:lvlText w:val="%2."/>
      <w:lvlJc w:val="left"/>
      <w:pPr>
        <w:ind w:left="2160" w:hanging="360"/>
      </w:pPr>
      <w:rPr>
        <w:rFonts w:cs="Times New Roman"/>
      </w:rPr>
    </w:lvl>
    <w:lvl w:ilvl="2">
      <w:start w:val="1"/>
      <w:numFmt w:val="lowerRoman"/>
      <w:isLgl w:val="false"/>
      <w:suff w:val="tab"/>
      <w:lvlText w:val="%3."/>
      <w:lvlJc w:val="right"/>
      <w:pPr>
        <w:ind w:left="2880" w:hanging="180"/>
      </w:pPr>
      <w:rPr>
        <w:rFonts w:cs="Times New Roman"/>
      </w:rPr>
    </w:lvl>
    <w:lvl w:ilvl="3">
      <w:start w:val="1"/>
      <w:numFmt w:val="decimal"/>
      <w:isLgl w:val="false"/>
      <w:suff w:val="tab"/>
      <w:lvlText w:val="%4."/>
      <w:lvlJc w:val="left"/>
      <w:pPr>
        <w:ind w:left="3600" w:hanging="360"/>
      </w:pPr>
      <w:rPr>
        <w:rFonts w:cs="Times New Roman"/>
      </w:rPr>
    </w:lvl>
    <w:lvl w:ilvl="4">
      <w:start w:val="1"/>
      <w:numFmt w:val="lowerLetter"/>
      <w:isLgl w:val="false"/>
      <w:suff w:val="tab"/>
      <w:lvlText w:val="%5."/>
      <w:lvlJc w:val="left"/>
      <w:pPr>
        <w:ind w:left="4320" w:hanging="360"/>
      </w:pPr>
      <w:rPr>
        <w:rFonts w:cs="Times New Roman"/>
      </w:rPr>
    </w:lvl>
    <w:lvl w:ilvl="5">
      <w:start w:val="1"/>
      <w:numFmt w:val="lowerRoman"/>
      <w:isLgl w:val="false"/>
      <w:suff w:val="tab"/>
      <w:lvlText w:val="%6."/>
      <w:lvlJc w:val="right"/>
      <w:pPr>
        <w:ind w:left="5040" w:hanging="180"/>
      </w:pPr>
      <w:rPr>
        <w:rFonts w:cs="Times New Roman"/>
      </w:rPr>
    </w:lvl>
    <w:lvl w:ilvl="6">
      <w:start w:val="1"/>
      <w:numFmt w:val="decimal"/>
      <w:isLgl w:val="false"/>
      <w:suff w:val="tab"/>
      <w:lvlText w:val="%7."/>
      <w:lvlJc w:val="left"/>
      <w:pPr>
        <w:ind w:left="5760" w:hanging="360"/>
      </w:pPr>
      <w:rPr>
        <w:rFonts w:cs="Times New Roman"/>
      </w:rPr>
    </w:lvl>
    <w:lvl w:ilvl="7">
      <w:start w:val="1"/>
      <w:numFmt w:val="lowerLetter"/>
      <w:isLgl w:val="false"/>
      <w:suff w:val="tab"/>
      <w:lvlText w:val="%8."/>
      <w:lvlJc w:val="left"/>
      <w:pPr>
        <w:ind w:left="6480" w:hanging="360"/>
      </w:pPr>
      <w:rPr>
        <w:rFonts w:cs="Times New Roman"/>
      </w:rPr>
    </w:lvl>
    <w:lvl w:ilvl="8">
      <w:start w:val="1"/>
      <w:numFmt w:val="lowerRoman"/>
      <w:isLgl w:val="false"/>
      <w:suff w:val="tab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multiLevelType w:val="hybridMultilevel"/>
    <w:lvl w:ilvl="0">
      <w:start w:val="1"/>
      <w:numFmt w:val="upperRoman"/>
      <w:isLgl w:val="false"/>
      <w:suff w:val="tab"/>
      <w:lvlText w:val="%1."/>
      <w:lvlJc w:val="left"/>
      <w:pPr>
        <w:ind w:left="1260" w:hanging="720"/>
      </w:pPr>
    </w:lvl>
    <w:lvl w:ilvl="1">
      <w:start w:val="1"/>
      <w:numFmt w:val="lowerLetter"/>
      <w:isLgl w:val="false"/>
      <w:suff w:val="tab"/>
      <w:lvlText w:val="%2."/>
      <w:lvlJc w:val="left"/>
      <w:pPr>
        <w:ind w:left="162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34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306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78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50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22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94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660" w:hanging="180"/>
      </w:pPr>
    </w:lvl>
  </w:abstractNum>
  <w:abstractNum w:abstractNumId="2">
    <w:multiLevelType w:val="hybridMultilevel"/>
    <w:lvl w:ilvl="0">
      <w:start w:val="1"/>
      <w:numFmt w:val="decimal"/>
      <w:isLgl w:val="false"/>
      <w:suff w:val="tab"/>
      <w:lvlText w:val="%1)"/>
      <w:lvlJc w:val="left"/>
      <w:pPr>
        <w:ind w:left="90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ind w:left="162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34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306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78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50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22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94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ru-RU" w:eastAsia="zh-CN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4">
    <w:name w:val="Heading 1"/>
    <w:basedOn w:val="700"/>
    <w:next w:val="700"/>
    <w:link w:val="707"/>
    <w:uiPriority w:val="9"/>
    <w:qFormat/>
    <w:pPr>
      <w:keepLines/>
      <w:keepNext/>
      <w:spacing w:before="480" w:after="200"/>
      <w:outlineLvl w:val="0"/>
    </w:pPr>
    <w:rPr>
      <w:rFonts w:ascii="Liberation Sans" w:hAnsi="Liberation Sans" w:eastAsia="Liberation Sans" w:cs="Liberation Sans"/>
      <w:sz w:val="40"/>
      <w:szCs w:val="40"/>
    </w:rPr>
  </w:style>
  <w:style w:type="paragraph" w:styleId="18">
    <w:name w:val="Heading 3"/>
    <w:basedOn w:val="700"/>
    <w:next w:val="700"/>
    <w:link w:val="711"/>
    <w:uiPriority w:val="9"/>
    <w:unhideWhenUsed/>
    <w:qFormat/>
    <w:pPr>
      <w:keepLines/>
      <w:keepNext/>
      <w:spacing w:before="320" w:after="200"/>
      <w:outlineLvl w:val="2"/>
    </w:pPr>
    <w:rPr>
      <w:rFonts w:ascii="Liberation Sans" w:hAnsi="Liberation Sans" w:eastAsia="Liberation Sans" w:cs="Liberation Sans"/>
      <w:sz w:val="30"/>
      <w:szCs w:val="30"/>
    </w:rPr>
  </w:style>
  <w:style w:type="paragraph" w:styleId="22">
    <w:name w:val="Heading 5"/>
    <w:basedOn w:val="700"/>
    <w:next w:val="700"/>
    <w:link w:val="715"/>
    <w:uiPriority w:val="9"/>
    <w:unhideWhenUsed/>
    <w:qFormat/>
    <w:pPr>
      <w:keepLines/>
      <w:keepNext/>
      <w:spacing w:before="320" w:after="200"/>
      <w:outlineLvl w:val="4"/>
    </w:pPr>
    <w:rPr>
      <w:rFonts w:ascii="Liberation Sans" w:hAnsi="Liberation Sans" w:eastAsia="Liberation Sans" w:cs="Liberation Sans"/>
      <w:b/>
      <w:bCs/>
      <w:sz w:val="24"/>
      <w:szCs w:val="24"/>
    </w:rPr>
  </w:style>
  <w:style w:type="paragraph" w:styleId="24">
    <w:name w:val="Heading 6"/>
    <w:basedOn w:val="700"/>
    <w:next w:val="700"/>
    <w:link w:val="717"/>
    <w:uiPriority w:val="9"/>
    <w:unhideWhenUsed/>
    <w:qFormat/>
    <w:pPr>
      <w:keepLines/>
      <w:keepNext/>
      <w:spacing w:before="320" w:after="200"/>
      <w:outlineLvl w:val="5"/>
    </w:pPr>
    <w:rPr>
      <w:rFonts w:ascii="Liberation Sans" w:hAnsi="Liberation Sans" w:eastAsia="Liberation Sans" w:cs="Liberation Sans"/>
      <w:b/>
      <w:bCs/>
      <w:sz w:val="22"/>
      <w:szCs w:val="22"/>
    </w:rPr>
  </w:style>
  <w:style w:type="paragraph" w:styleId="26">
    <w:name w:val="Heading 7"/>
    <w:basedOn w:val="700"/>
    <w:next w:val="700"/>
    <w:link w:val="719"/>
    <w:uiPriority w:val="9"/>
    <w:unhideWhenUsed/>
    <w:qFormat/>
    <w:pPr>
      <w:keepLines/>
      <w:keepNext/>
      <w:spacing w:before="320" w:after="200"/>
      <w:outlineLvl w:val="6"/>
    </w:pPr>
    <w:rPr>
      <w:rFonts w:ascii="Liberation Sans" w:hAnsi="Liberation Sans" w:eastAsia="Liberation Sans" w:cs="Liberation Sans"/>
      <w:b/>
      <w:bCs/>
      <w:i/>
      <w:iCs/>
      <w:sz w:val="22"/>
      <w:szCs w:val="22"/>
    </w:rPr>
  </w:style>
  <w:style w:type="paragraph" w:styleId="28">
    <w:name w:val="Heading 8"/>
    <w:basedOn w:val="700"/>
    <w:next w:val="700"/>
    <w:link w:val="721"/>
    <w:uiPriority w:val="9"/>
    <w:unhideWhenUsed/>
    <w:qFormat/>
    <w:pPr>
      <w:keepLines/>
      <w:keepNext/>
      <w:spacing w:before="320" w:after="200"/>
      <w:outlineLvl w:val="7"/>
    </w:pPr>
    <w:rPr>
      <w:rFonts w:ascii="Liberation Sans" w:hAnsi="Liberation Sans" w:eastAsia="Liberation Sans" w:cs="Liberation Sans"/>
      <w:i/>
      <w:iCs/>
      <w:sz w:val="22"/>
      <w:szCs w:val="22"/>
    </w:rPr>
  </w:style>
  <w:style w:type="paragraph" w:styleId="30">
    <w:name w:val="Heading 9"/>
    <w:basedOn w:val="700"/>
    <w:next w:val="700"/>
    <w:link w:val="723"/>
    <w:uiPriority w:val="9"/>
    <w:unhideWhenUsed/>
    <w:qFormat/>
    <w:pPr>
      <w:keepLines/>
      <w:keepNext/>
      <w:spacing w:before="320" w:after="200"/>
      <w:outlineLvl w:val="8"/>
    </w:pPr>
    <w:rPr>
      <w:rFonts w:ascii="Liberation Sans" w:hAnsi="Liberation Sans" w:eastAsia="Liberation Sans" w:cs="Liberation Sans"/>
      <w:i/>
      <w:iCs/>
      <w:sz w:val="21"/>
      <w:szCs w:val="21"/>
    </w:rPr>
  </w:style>
  <w:style w:type="character" w:styleId="36">
    <w:name w:val="Title Char"/>
    <w:basedOn w:val="703"/>
    <w:link w:val="726"/>
    <w:uiPriority w:val="10"/>
    <w:rPr>
      <w:sz w:val="48"/>
      <w:szCs w:val="48"/>
    </w:rPr>
  </w:style>
  <w:style w:type="character" w:styleId="38">
    <w:name w:val="Subtitle Char"/>
    <w:basedOn w:val="703"/>
    <w:link w:val="728"/>
    <w:uiPriority w:val="11"/>
    <w:rPr>
      <w:sz w:val="24"/>
      <w:szCs w:val="24"/>
    </w:rPr>
  </w:style>
  <w:style w:type="character" w:styleId="40">
    <w:name w:val="Quote Char"/>
    <w:link w:val="730"/>
    <w:uiPriority w:val="29"/>
    <w:rPr>
      <w:i/>
    </w:rPr>
  </w:style>
  <w:style w:type="character" w:styleId="42">
    <w:name w:val="Intense Quote Char"/>
    <w:link w:val="732"/>
    <w:uiPriority w:val="30"/>
    <w:rPr>
      <w:i/>
    </w:rPr>
  </w:style>
  <w:style w:type="paragraph" w:styleId="47">
    <w:name w:val="Caption"/>
    <w:basedOn w:val="700"/>
    <w:next w:val="700"/>
    <w:link w:val="739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table" w:styleId="51">
    <w:name w:val="Plain Table 1"/>
    <w:basedOn w:val="704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</w:tblStylePr>
  </w:style>
  <w:style w:type="table" w:styleId="52">
    <w:name w:val="Plain Table 2"/>
    <w:basedOn w:val="704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</w:tblStylePr>
  </w:style>
  <w:style w:type="table" w:styleId="53">
    <w:name w:val="Plain Table 3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4">
    <w:name w:val="Plain Table 4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Plain Table 5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6">
    <w:name w:val="Grid Table 1 Light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3">
    <w:name w:val="Grid Table 2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7">
    <w:name w:val="Grid Table 4"/>
    <w:basedOn w:val="704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84">
    <w:name w:val="Grid Table 5 Dark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91">
    <w:name w:val="Grid Table 6 Colorful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Liberation Sans" w:hAnsi="Liberation Sans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Liberation Sans" w:hAnsi="Liberation Sans"/>
        <w:color w:val="404040" w:themeColor="text1" w:themeTint="80" w:themeShade="95"/>
        <w:sz w:val="22"/>
      </w:rPr>
    </w:tblStylePr>
  </w:style>
  <w:style w:type="table" w:styleId="98">
    <w:name w:val="Grid Table 7 Colorful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Liberation Sans" w:hAnsi="Liberation Sans"/>
        <w:color w:val="4a4a4a" w:themeColor="text1" w:themeTint="80" w:themeShade="95"/>
        <w:sz w:val="22"/>
      </w:rPr>
    </w:tblStylePr>
    <w:tblStylePr w:type="firstCol">
      <w:rPr>
        <w:rFonts w:ascii="Liberation Sans" w:hAnsi="Liberation Sans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Liberation Sans" w:hAnsi="Liberation Sans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Liberation Sans" w:hAnsi="Liberation Sans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Liberation Sans" w:hAnsi="Liberation Sans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105">
    <w:name w:val="List Table 1 Light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2">
    <w:name w:val="List Table 2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Liberation Sans" w:hAnsi="Liberation Sans"/>
        <w:b/>
        <w:color w:val="404040"/>
        <w:sz w:val="22"/>
      </w:rPr>
    </w:tblStylePr>
    <w:tblStylePr w:type="fir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Liberation Sans" w:hAnsi="Liberation Sans"/>
        <w:b/>
        <w:color w:val="404040"/>
        <w:sz w:val="22"/>
      </w:rPr>
    </w:tblStylePr>
    <w:tblStylePr w:type="lastRow">
      <w:rPr>
        <w:rFonts w:ascii="Liberation Sans" w:hAnsi="Liberation Sans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9">
    <w:name w:val="List Table 3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Liberation Sans" w:hAnsi="Liberation Sans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Liberation Sans" w:hAnsi="Liberation Sans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Liberation Sans" w:hAnsi="Liberation Sans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3">
    <w:name w:val="List Table 5 Dark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Liberation Sans" w:hAnsi="Liberation Sans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Liberation Sans" w:hAnsi="Liberation Sans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Liberation Sans" w:hAnsi="Liberation Sans"/>
        <w:b/>
        <w:color w:val="ffffff" w:themeColor="light1"/>
        <w:sz w:val="22"/>
      </w:rPr>
    </w:tblStylePr>
    <w:tblStylePr w:type="wholeTable">
      <w:rPr>
        <w:rFonts w:ascii="Liberation Sans" w:hAnsi="Liberation Sans"/>
        <w:color w:val="ffffff" w:themeColor="light1"/>
        <w:sz w:val="22"/>
      </w:rPr>
    </w:tblStylePr>
  </w:style>
  <w:style w:type="table" w:styleId="140">
    <w:name w:val="List Table 6 Colorful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Liberation Sans" w:hAnsi="Liberation Sans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7">
    <w:name w:val="List Table 7 Colorful"/>
    <w:basedOn w:val="704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Liberation Sans" w:hAnsi="Liberation Sans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Liberation Sans" w:hAnsi="Liberation Sans"/>
        <w:color w:val="4a4a4a" w:themeColor="text1" w:themeTint="80" w:themeShade="95"/>
        <w:sz w:val="22"/>
      </w:rPr>
    </w:tblStylePr>
    <w:tblStylePr w:type="firstCol">
      <w:rPr>
        <w:rFonts w:ascii="Liberation Sans" w:hAnsi="Liberation Sans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Liberation Sans" w:hAnsi="Liberation Sans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Liberation Sans" w:hAnsi="Liberation Sans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Liberation Sans" w:hAnsi="Liberation Sans"/>
        <w:color w:val="4a4a4a" w:themeColor="text1" w:themeTint="80" w:themeShade="95"/>
        <w:sz w:val="22"/>
      </w:rPr>
    </w:tblStylePr>
  </w:style>
  <w:style w:type="paragraph" w:styleId="700" w:default="1">
    <w:name w:val="Normal"/>
    <w:qFormat/>
    <w:rPr>
      <w:sz w:val="24"/>
      <w:szCs w:val="24"/>
      <w:lang w:eastAsia="ru-RU"/>
    </w:rPr>
  </w:style>
  <w:style w:type="paragraph" w:styleId="701">
    <w:name w:val="Heading 2"/>
    <w:basedOn w:val="700"/>
    <w:next w:val="700"/>
    <w:link w:val="905"/>
    <w:uiPriority w:val="9"/>
    <w:semiHidden/>
    <w:unhideWhenUsed/>
    <w:qFormat/>
    <w:pPr>
      <w:keepLines/>
      <w:keepNext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en-US" w:eastAsia="en-US"/>
    </w:rPr>
  </w:style>
  <w:style w:type="paragraph" w:styleId="702">
    <w:name w:val="Heading 4"/>
    <w:basedOn w:val="700"/>
    <w:next w:val="700"/>
    <w:link w:val="897"/>
    <w:uiPriority w:val="99"/>
    <w:qFormat/>
    <w:pPr>
      <w:jc w:val="center"/>
      <w:keepNext/>
      <w:spacing w:before="120"/>
      <w:tabs>
        <w:tab w:val="num" w:pos="0" w:leader="none"/>
      </w:tabs>
      <w:outlineLvl w:val="3"/>
    </w:pPr>
    <w:rPr>
      <w:sz w:val="28"/>
      <w:szCs w:val="28"/>
      <w:lang w:val="en-US" w:eastAsia="en-US"/>
    </w:rPr>
  </w:style>
  <w:style w:type="character" w:styleId="703" w:default="1">
    <w:name w:val="Default Paragraph Font"/>
    <w:uiPriority w:val="1"/>
    <w:semiHidden/>
    <w:unhideWhenUsed/>
  </w:style>
  <w:style w:type="table" w:styleId="704" w:default="1">
    <w:name w:val="Normal Table"/>
    <w:uiPriority w:val="99"/>
    <w:semiHidden/>
    <w:unhideWhenUsed/>
    <w:qFormat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705" w:default="1">
    <w:name w:val="No List"/>
    <w:uiPriority w:val="99"/>
    <w:semiHidden/>
    <w:unhideWhenUsed/>
  </w:style>
  <w:style w:type="paragraph" w:styleId="706" w:customStyle="1">
    <w:name w:val="Заголовок 11"/>
    <w:basedOn w:val="700"/>
    <w:next w:val="700"/>
    <w:link w:val="707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707" w:customStyle="1">
    <w:name w:val="Heading 1 Char"/>
    <w:link w:val="706"/>
    <w:uiPriority w:val="9"/>
    <w:rPr>
      <w:rFonts w:ascii="Arial" w:hAnsi="Arial" w:eastAsia="Arial" w:cs="Arial"/>
      <w:sz w:val="40"/>
      <w:szCs w:val="40"/>
    </w:rPr>
  </w:style>
  <w:style w:type="paragraph" w:styleId="708" w:customStyle="1">
    <w:name w:val="Заголовок 21"/>
    <w:basedOn w:val="700"/>
    <w:next w:val="700"/>
    <w:link w:val="709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709" w:customStyle="1">
    <w:name w:val="Heading 2 Char"/>
    <w:link w:val="708"/>
    <w:uiPriority w:val="9"/>
    <w:rPr>
      <w:rFonts w:ascii="Arial" w:hAnsi="Arial" w:eastAsia="Arial" w:cs="Arial"/>
      <w:sz w:val="34"/>
    </w:rPr>
  </w:style>
  <w:style w:type="paragraph" w:styleId="710" w:customStyle="1">
    <w:name w:val="Заголовок 31"/>
    <w:basedOn w:val="700"/>
    <w:next w:val="700"/>
    <w:link w:val="711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711" w:customStyle="1">
    <w:name w:val="Heading 3 Char"/>
    <w:link w:val="710"/>
    <w:uiPriority w:val="9"/>
    <w:rPr>
      <w:rFonts w:ascii="Arial" w:hAnsi="Arial" w:eastAsia="Arial" w:cs="Arial"/>
      <w:sz w:val="30"/>
      <w:szCs w:val="30"/>
    </w:rPr>
  </w:style>
  <w:style w:type="paragraph" w:styleId="712" w:customStyle="1">
    <w:name w:val="Заголовок 41"/>
    <w:basedOn w:val="700"/>
    <w:next w:val="700"/>
    <w:link w:val="713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713" w:customStyle="1">
    <w:name w:val="Heading 4 Char"/>
    <w:link w:val="712"/>
    <w:uiPriority w:val="9"/>
    <w:rPr>
      <w:rFonts w:ascii="Arial" w:hAnsi="Arial" w:eastAsia="Arial" w:cs="Arial"/>
      <w:b/>
      <w:bCs/>
      <w:sz w:val="26"/>
      <w:szCs w:val="26"/>
    </w:rPr>
  </w:style>
  <w:style w:type="paragraph" w:styleId="714" w:customStyle="1">
    <w:name w:val="Заголовок 51"/>
    <w:basedOn w:val="700"/>
    <w:next w:val="700"/>
    <w:link w:val="715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</w:rPr>
  </w:style>
  <w:style w:type="character" w:styleId="715" w:customStyle="1">
    <w:name w:val="Heading 5 Char"/>
    <w:link w:val="714"/>
    <w:uiPriority w:val="9"/>
    <w:rPr>
      <w:rFonts w:ascii="Arial" w:hAnsi="Arial" w:eastAsia="Arial" w:cs="Arial"/>
      <w:b/>
      <w:bCs/>
      <w:sz w:val="24"/>
      <w:szCs w:val="24"/>
    </w:rPr>
  </w:style>
  <w:style w:type="paragraph" w:styleId="716" w:customStyle="1">
    <w:name w:val="Заголовок 61"/>
    <w:basedOn w:val="700"/>
    <w:next w:val="700"/>
    <w:link w:val="717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717" w:customStyle="1">
    <w:name w:val="Heading 6 Char"/>
    <w:link w:val="716"/>
    <w:uiPriority w:val="9"/>
    <w:rPr>
      <w:rFonts w:ascii="Arial" w:hAnsi="Arial" w:eastAsia="Arial" w:cs="Arial"/>
      <w:b/>
      <w:bCs/>
      <w:sz w:val="22"/>
      <w:szCs w:val="22"/>
    </w:rPr>
  </w:style>
  <w:style w:type="paragraph" w:styleId="718" w:customStyle="1">
    <w:name w:val="Заголовок 71"/>
    <w:basedOn w:val="700"/>
    <w:next w:val="700"/>
    <w:link w:val="719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719" w:customStyle="1">
    <w:name w:val="Heading 7 Char"/>
    <w:link w:val="71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720" w:customStyle="1">
    <w:name w:val="Заголовок 81"/>
    <w:basedOn w:val="700"/>
    <w:next w:val="700"/>
    <w:link w:val="721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721" w:customStyle="1">
    <w:name w:val="Heading 8 Char"/>
    <w:link w:val="720"/>
    <w:uiPriority w:val="9"/>
    <w:rPr>
      <w:rFonts w:ascii="Arial" w:hAnsi="Arial" w:eastAsia="Arial" w:cs="Arial"/>
      <w:i/>
      <w:iCs/>
      <w:sz w:val="22"/>
      <w:szCs w:val="22"/>
    </w:rPr>
  </w:style>
  <w:style w:type="paragraph" w:styleId="722" w:customStyle="1">
    <w:name w:val="Заголовок 91"/>
    <w:basedOn w:val="700"/>
    <w:next w:val="700"/>
    <w:link w:val="723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723" w:customStyle="1">
    <w:name w:val="Heading 9 Char"/>
    <w:link w:val="722"/>
    <w:uiPriority w:val="9"/>
    <w:rPr>
      <w:rFonts w:ascii="Arial" w:hAnsi="Arial" w:eastAsia="Arial" w:cs="Arial"/>
      <w:i/>
      <w:iCs/>
      <w:sz w:val="21"/>
      <w:szCs w:val="21"/>
    </w:rPr>
  </w:style>
  <w:style w:type="paragraph" w:styleId="724">
    <w:name w:val="List Paragraph"/>
    <w:basedOn w:val="700"/>
    <w:uiPriority w:val="99"/>
    <w:qFormat/>
    <w:pPr>
      <w:contextualSpacing/>
      <w:ind w:left="720"/>
    </w:pPr>
    <w:rPr>
      <w:rFonts w:ascii="Arial Unicode MS" w:hAnsi="Arial Unicode MS" w:eastAsia="Arial Unicode MS" w:cs="Arial Unicode MS"/>
      <w:color w:val="000000"/>
    </w:rPr>
  </w:style>
  <w:style w:type="paragraph" w:styleId="725">
    <w:name w:val="No Spacing"/>
    <w:uiPriority w:val="1"/>
    <w:qFormat/>
    <w:rPr>
      <w:rFonts w:ascii="Calibri" w:hAnsi="Calibri" w:eastAsia="Calibri"/>
      <w:sz w:val="22"/>
      <w:szCs w:val="22"/>
      <w:lang w:eastAsia="en-US"/>
    </w:rPr>
  </w:style>
  <w:style w:type="paragraph" w:styleId="726">
    <w:name w:val="Title"/>
    <w:basedOn w:val="700"/>
    <w:next w:val="700"/>
    <w:link w:val="727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727" w:customStyle="1">
    <w:name w:val="Название Знак"/>
    <w:link w:val="726"/>
    <w:uiPriority w:val="10"/>
    <w:rPr>
      <w:sz w:val="48"/>
      <w:szCs w:val="48"/>
    </w:rPr>
  </w:style>
  <w:style w:type="paragraph" w:styleId="728">
    <w:name w:val="Subtitle"/>
    <w:basedOn w:val="700"/>
    <w:next w:val="700"/>
    <w:link w:val="729"/>
    <w:uiPriority w:val="11"/>
    <w:qFormat/>
    <w:pPr>
      <w:spacing w:before="200" w:after="200"/>
    </w:pPr>
  </w:style>
  <w:style w:type="character" w:styleId="729" w:customStyle="1">
    <w:name w:val="Подзаголовок Знак"/>
    <w:link w:val="728"/>
    <w:uiPriority w:val="11"/>
    <w:rPr>
      <w:sz w:val="24"/>
      <w:szCs w:val="24"/>
    </w:rPr>
  </w:style>
  <w:style w:type="paragraph" w:styleId="730">
    <w:name w:val="Quote"/>
    <w:basedOn w:val="700"/>
    <w:next w:val="700"/>
    <w:link w:val="731"/>
    <w:uiPriority w:val="29"/>
    <w:qFormat/>
    <w:pPr>
      <w:ind w:left="720" w:right="720"/>
    </w:pPr>
    <w:rPr>
      <w:i/>
    </w:rPr>
  </w:style>
  <w:style w:type="character" w:styleId="731" w:customStyle="1">
    <w:name w:val="Цитата 2 Знак"/>
    <w:link w:val="730"/>
    <w:uiPriority w:val="29"/>
    <w:rPr>
      <w:i/>
    </w:rPr>
  </w:style>
  <w:style w:type="paragraph" w:styleId="732">
    <w:name w:val="Intense Quote"/>
    <w:basedOn w:val="700"/>
    <w:next w:val="700"/>
    <w:link w:val="733"/>
    <w:uiPriority w:val="30"/>
    <w:qFormat/>
    <w:pPr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33" w:customStyle="1">
    <w:name w:val="Выделенная цитата Знак"/>
    <w:link w:val="732"/>
    <w:uiPriority w:val="30"/>
    <w:rPr>
      <w:i/>
    </w:rPr>
  </w:style>
  <w:style w:type="paragraph" w:styleId="734" w:customStyle="1">
    <w:name w:val="Верхний колонтитул1"/>
    <w:basedOn w:val="700"/>
    <w:link w:val="735"/>
    <w:uiPriority w:val="99"/>
    <w:unhideWhenUsed/>
    <w:pPr>
      <w:tabs>
        <w:tab w:val="center" w:pos="7143" w:leader="none"/>
        <w:tab w:val="right" w:pos="14287" w:leader="none"/>
      </w:tabs>
    </w:pPr>
  </w:style>
  <w:style w:type="character" w:styleId="735" w:customStyle="1">
    <w:name w:val="Header Char"/>
    <w:link w:val="734"/>
    <w:uiPriority w:val="99"/>
  </w:style>
  <w:style w:type="paragraph" w:styleId="736" w:customStyle="1">
    <w:name w:val="Нижний колонтитул1"/>
    <w:basedOn w:val="700"/>
    <w:link w:val="739"/>
    <w:uiPriority w:val="99"/>
    <w:unhideWhenUsed/>
    <w:pPr>
      <w:tabs>
        <w:tab w:val="center" w:pos="7143" w:leader="none"/>
        <w:tab w:val="right" w:pos="14287" w:leader="none"/>
      </w:tabs>
    </w:pPr>
  </w:style>
  <w:style w:type="character" w:styleId="737" w:customStyle="1">
    <w:name w:val="Footer Char"/>
    <w:uiPriority w:val="99"/>
  </w:style>
  <w:style w:type="paragraph" w:styleId="738" w:customStyle="1">
    <w:name w:val="Название объекта1"/>
    <w:basedOn w:val="700"/>
    <w:next w:val="700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739" w:customStyle="1">
    <w:name w:val="Caption Char"/>
    <w:link w:val="736"/>
    <w:uiPriority w:val="99"/>
  </w:style>
  <w:style w:type="table" w:styleId="740">
    <w:name w:val="Table Grid"/>
    <w:basedOn w:val="704"/>
    <w:rPr>
      <w:rFonts w:ascii="Calibri" w:hAnsi="Calibri" w:eastAsia="Calibri"/>
    </w:rPr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table" w:styleId="741" w:customStyle="1">
    <w:name w:val="Table Grid Light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742" w:customStyle="1">
    <w:name w:val="Таблица простая 11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2f2f2" w:themeColor="text1" w:themeTint="00" w:fill="f2f2f2" w:themeFill="text1" w:themeFillTint="00"/>
      </w:tcPr>
    </w:tblStylePr>
    <w:tblStylePr w:type="band1Vert">
      <w:tcPr>
        <w:shd w:val="clear" w:color="f2f2f2" w:themeColor="text1" w:themeTint="00" w:fill="f2f2f2" w:themeFill="text1" w:themeFillTint="0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43" w:customStyle="1">
    <w:name w:val="Таблица простая 21"/>
    <w:uiPriority w:val="59"/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44" w:customStyle="1">
    <w:name w:val="Таблица простая 31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45" w:customStyle="1">
    <w:name w:val="Таблица простая 41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6" w:customStyle="1">
    <w:name w:val="Таблица простая 51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auto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auto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47" w:customStyle="1">
    <w:name w:val="Таблица-сетка 1 светлая1"/>
    <w:uiPriority w:val="99"/>
    <w:tblPr>
      <w:tblStyleRowBandSize w:val="1"/>
      <w:tblStyleColBandSize w:val="1"/>
      <w:tblInd w:w="0" w:type="dxa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989898" w:themeColor="text1" w:themeTint="67" w:sz="4" w:space="0"/>
          <w:left w:val="single" w:color="989898" w:themeColor="text1" w:themeTint="67" w:sz="4" w:space="0"/>
          <w:bottom w:val="single" w:color="989898" w:themeColor="text1" w:themeTint="67" w:sz="4" w:space="0"/>
          <w:right w:val="single" w:color="989898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6A6A6A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 w:customStyle="1">
    <w:name w:val="Grid Table 1 Light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B7CBE4" w:themeColor="accent1" w:themeTint="67" w:sz="4" w:space="0"/>
          <w:left w:val="single" w:color="B7CBE4" w:themeColor="accent1" w:themeTint="67" w:sz="4" w:space="0"/>
          <w:bottom w:val="single" w:color="B7CBE4" w:themeColor="accent1" w:themeTint="67" w:sz="4" w:space="0"/>
          <w:right w:val="single" w:color="B7CBE4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7B4D8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9" w:customStyle="1">
    <w:name w:val="Grid Table 1 Light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E5B7B6" w:themeColor="accent2" w:themeTint="67" w:sz="4" w:space="0"/>
          <w:left w:val="single" w:color="E5B7B6" w:themeColor="accent2" w:themeTint="67" w:sz="4" w:space="0"/>
          <w:bottom w:val="single" w:color="E5B7B6" w:themeColor="accent2" w:themeTint="67" w:sz="4" w:space="0"/>
          <w:right w:val="single" w:color="E5B7B6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DA9896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 w:customStyle="1">
    <w:name w:val="Grid Table 1 Light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C4D79D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1" w:customStyle="1">
    <w:name w:val="Grid Table 1 Light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B4A4C8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2" w:customStyle="1">
    <w:name w:val="Grid Table 1 Light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B6DDE8" w:themeColor="accent5" w:themeTint="67" w:sz="4" w:space="0"/>
          <w:left w:val="single" w:color="B6DDE8" w:themeColor="accent5" w:themeTint="67" w:sz="4" w:space="0"/>
          <w:bottom w:val="single" w:color="B6DDE8" w:themeColor="accent5" w:themeTint="67" w:sz="4" w:space="0"/>
          <w:right w:val="single" w:color="B6DDE8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5CEDD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3" w:customStyle="1">
    <w:name w:val="Grid Table 1 Light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AC192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4" w:customStyle="1">
    <w:name w:val="Таблица-сетка 2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A6A6A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A6A6A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5" w:customStyle="1">
    <w:name w:val="Grid Table 2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ae5f1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ae5f1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5D8AC2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5D8AC2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6" w:customStyle="1">
    <w:name w:val="Grid Table 2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D99695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D99695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 w:customStyle="1">
    <w:name w:val="Grid Table 2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9ABB59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9ABB59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 w:customStyle="1">
    <w:name w:val="Grid Table 2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B2A1C6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B2A1C6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9" w:customStyle="1">
    <w:name w:val="Grid Table 2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4BACC6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0" w:customStyle="1">
    <w:name w:val="Grid Table 2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79646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1" w:customStyle="1">
    <w:name w:val="Таблица-сетка 3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2" w:customStyle="1">
    <w:name w:val="Grid Table 3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ae5f1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ae5f1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3" w:customStyle="1">
    <w:name w:val="Grid Table 3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4" w:customStyle="1">
    <w:name w:val="Grid Table 3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5" w:customStyle="1">
    <w:name w:val="Grid Table 3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6" w:customStyle="1">
    <w:name w:val="Grid Table 3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7" w:customStyle="1">
    <w:name w:val="Grid Table 3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8" w:customStyle="1">
    <w:name w:val="Таблица-сетка 41"/>
    <w:uiPriority w:val="5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9" w:customStyle="1">
    <w:name w:val="Grid Table 4 - Accent 1"/>
    <w:uiPriority w:val="5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dce6f2" w:themeColor="accent1" w:themeTint="32" w:fill="dce6f2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d8ac2" w:themeColor="accent1" w:themeTint="EA" w:fill="5d8ac2" w:themeFill="accent1" w:themeFillTint="EA"/>
        <w:tcBorders>
          <w:top w:val="single" w:color="5D8AC2" w:themeColor="accent1" w:themeTint="EA" w:sz="4" w:space="0"/>
          <w:left w:val="single" w:color="5D8AC2" w:themeColor="accent1" w:themeTint="EA" w:sz="4" w:space="0"/>
          <w:bottom w:val="single" w:color="5D8AC2" w:themeColor="accent1" w:themeTint="EA" w:sz="4" w:space="0"/>
          <w:right w:val="single" w:color="5D8AC2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D8AC2" w:themeColor="accent1" w:themeTint="EA" w:sz="4" w:space="0"/>
        </w:tcBorders>
      </w:tcPr>
    </w:tblStylePr>
  </w:style>
  <w:style w:type="table" w:styleId="770" w:customStyle="1">
    <w:name w:val="Grid Table 4 - Accent 2"/>
    <w:uiPriority w:val="5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  <w:insideV w:val="single" w:color="DB9B9A" w:themeColor="accent2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d99695" w:themeColor="accent2" w:themeTint="97" w:fill="d99695" w:themeFill="accent2" w:themeFillTint="97"/>
        <w:tcBorders>
          <w:top w:val="single" w:color="D99695" w:themeColor="accent2" w:themeTint="97" w:sz="4" w:space="0"/>
          <w:left w:val="single" w:color="D99695" w:themeColor="accent2" w:themeTint="97" w:sz="4" w:space="0"/>
          <w:bottom w:val="single" w:color="D99695" w:themeColor="accent2" w:themeTint="97" w:sz="4" w:space="0"/>
          <w:right w:val="single" w:color="D99695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D99695" w:themeColor="accent2" w:themeTint="97" w:sz="4" w:space="0"/>
        </w:tcBorders>
      </w:tcPr>
    </w:tblStylePr>
  </w:style>
  <w:style w:type="table" w:styleId="771" w:customStyle="1">
    <w:name w:val="Grid Table 4 - Accent 3"/>
    <w:uiPriority w:val="5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9abb59" w:themeColor="accent3" w:themeTint="FE" w:fill="9abb59" w:themeFill="accent3" w:themeFillTint="FE"/>
        <w:tcBorders>
          <w:top w:val="single" w:color="9ABB59" w:themeColor="accent3" w:themeTint="FE" w:sz="4" w:space="0"/>
          <w:left w:val="single" w:color="9ABB59" w:themeColor="accent3" w:themeTint="FE" w:sz="4" w:space="0"/>
          <w:bottom w:val="single" w:color="9ABB59" w:themeColor="accent3" w:themeTint="FE" w:sz="4" w:space="0"/>
          <w:right w:val="single" w:color="9ABB59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9ABB59" w:themeColor="accent3" w:themeTint="FE" w:sz="4" w:space="0"/>
        </w:tcBorders>
      </w:tcPr>
    </w:tblStylePr>
  </w:style>
  <w:style w:type="table" w:styleId="772" w:customStyle="1">
    <w:name w:val="Grid Table 4 - Accent 4"/>
    <w:uiPriority w:val="5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  <w:tcBorders>
          <w:top w:val="single" w:color="B2A1C6" w:themeColor="accent4" w:themeTint="9A" w:sz="4" w:space="0"/>
          <w:left w:val="single" w:color="B2A1C6" w:themeColor="accent4" w:themeTint="9A" w:sz="4" w:space="0"/>
          <w:bottom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B2A1C6" w:themeColor="accent4" w:themeTint="9A" w:sz="4" w:space="0"/>
        </w:tcBorders>
      </w:tcPr>
    </w:tblStylePr>
  </w:style>
  <w:style w:type="table" w:styleId="773" w:customStyle="1">
    <w:name w:val="Grid Table 4 - Accent 5"/>
    <w:uiPriority w:val="5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BACC6" w:themeColor="accent5" w:sz="4" w:space="0"/>
        </w:tcBorders>
      </w:tcPr>
    </w:tblStylePr>
  </w:style>
  <w:style w:type="table" w:styleId="774" w:customStyle="1">
    <w:name w:val="Grid Table 4 - Accent 6"/>
    <w:uiPriority w:val="5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79646" w:themeColor="accent6" w:sz="4" w:space="0"/>
        </w:tcBorders>
      </w:tcPr>
    </w:tblStylePr>
  </w:style>
  <w:style w:type="table" w:styleId="775" w:customStyle="1">
    <w:name w:val="Таблица-сетка 5 темная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bfbfbf" w:themeColor="text1" w:themeTint="40" w:fill="bfbfbf" w:themeFill="text1" w:themeFillTint="40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8a8a8a" w:themeColor="text1" w:themeTint="75" w:fill="8a8a8a" w:themeFill="text1" w:themeFillTint="75"/>
      </w:tcPr>
    </w:tblStylePr>
    <w:tblStylePr w:type="band1Vert">
      <w:tcPr>
        <w:shd w:val="clear" w:color="8a8a8a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FFFFFF" w:themeColor="light1" w:sz="4" w:space="0"/>
        </w:tcBorders>
      </w:tcPr>
    </w:tblStylePr>
  </w:style>
  <w:style w:type="table" w:styleId="776" w:customStyle="1">
    <w:name w:val="Grid Table 5 Dark- Accent 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ae5f1" w:themeColor="accent1" w:themeTint="34" w:fill="dae5f1" w:themeFill="accent1" w:themeFillTint="34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aec4e0" w:themeColor="accent1" w:themeTint="75" w:fill="aec4e0" w:themeFill="accent1" w:themeFillTint="75"/>
      </w:tcPr>
    </w:tblStylePr>
    <w:tblStylePr w:type="band1Vert">
      <w:tcPr>
        <w:shd w:val="clear" w:color="aec4e0" w:themeColor="accent1" w:themeTint="75" w:fill="aec4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  <w:tcBorders>
          <w:top w:val="single" w:color="FFFFFF" w:themeColor="light1" w:sz="4" w:space="0"/>
        </w:tcBorders>
      </w:tcPr>
    </w:tblStylePr>
  </w:style>
  <w:style w:type="table" w:styleId="777" w:customStyle="1">
    <w:name w:val="Grid Table 5 Dark - Accent 2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2dcdc" w:themeColor="accent2" w:themeTint="32" w:fill="f2dcdc" w:themeFill="accent2" w:themeFillTint="32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e2aead" w:themeColor="accent2" w:themeTint="75" w:fill="e2aead" w:themeFill="accent2" w:themeFillTint="75"/>
      </w:tcPr>
    </w:tblStylePr>
    <w:tblStylePr w:type="band1Vert">
      <w:tcPr>
        <w:shd w:val="clear" w:color="e2aead" w:themeColor="accent2" w:themeTint="75" w:fill="e2aead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  <w:tcBorders>
          <w:top w:val="single" w:color="FFFFFF" w:themeColor="light1" w:sz="4" w:space="0"/>
        </w:tcBorders>
      </w:tcPr>
    </w:tblStylePr>
  </w:style>
  <w:style w:type="table" w:styleId="778" w:customStyle="1">
    <w:name w:val="Grid Table 5 Dark - Accent 3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af1dc" w:themeColor="accent3" w:themeTint="34" w:fill="eaf1dc" w:themeFill="accent3" w:themeFillTint="34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d0dfb2" w:themeColor="accent3" w:themeTint="75" w:fill="d0dfb2" w:themeFill="accent3" w:themeFillTint="75"/>
      </w:tcPr>
    </w:tblStylePr>
    <w:tblStylePr w:type="band1Vert">
      <w:tcPr>
        <w:shd w:val="clear" w:color="d0dfb2" w:themeColor="accent3" w:themeTint="75" w:fill="d0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  <w:tcBorders>
          <w:top w:val="single" w:color="FFFFFF" w:themeColor="light1" w:sz="4" w:space="0"/>
        </w:tcBorders>
      </w:tcPr>
    </w:tblStylePr>
  </w:style>
  <w:style w:type="table" w:styleId="779" w:customStyle="1">
    <w:name w:val="Grid Table 5 Dark- Accent 4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5dfec" w:themeColor="accent4" w:themeTint="34" w:fill="e5dfec" w:themeFill="accent4" w:themeFillTint="34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c4b7d4" w:themeColor="accent4" w:themeTint="75" w:fill="c4b7d4" w:themeFill="accent4" w:themeFillTint="75"/>
      </w:tcPr>
    </w:tblStylePr>
    <w:tblStylePr w:type="band1Vert">
      <w:tcPr>
        <w:shd w:val="clear" w:color="c4b7d4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  <w:tcBorders>
          <w:top w:val="single" w:color="FFFFFF" w:themeColor="light1" w:sz="4" w:space="0"/>
        </w:tcBorders>
      </w:tcPr>
    </w:tblStylePr>
  </w:style>
  <w:style w:type="table" w:styleId="780" w:customStyle="1">
    <w:name w:val="Grid Table 5 Dark - Accent 5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aeef3" w:themeColor="accent5" w:themeTint="34" w:fill="daeef3" w:themeFill="accent5" w:themeFillTint="34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acd8e4" w:themeColor="accent5" w:themeTint="75" w:fill="acd8e4" w:themeFill="accent5" w:themeFillTint="75"/>
      </w:tcPr>
    </w:tblStylePr>
    <w:tblStylePr w:type="band1Vert">
      <w:tcPr>
        <w:shd w:val="clear" w:color="acd8e4" w:themeColor="accent5" w:themeTint="75" w:fill="acd8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  <w:tcBorders>
          <w:top w:val="single" w:color="FFFFFF" w:themeColor="light1" w:sz="4" w:space="0"/>
        </w:tcBorders>
      </w:tcPr>
    </w:tblStylePr>
  </w:style>
  <w:style w:type="table" w:styleId="781" w:customStyle="1">
    <w:name w:val="Grid Table 5 Dark - Accent 6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de9d8" w:themeColor="accent6" w:themeTint="34" w:fill="fde9d8" w:themeFill="accent6" w:themeFillTint="34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fbceaa" w:themeColor="accent6" w:themeTint="75" w:fill="fbceaa" w:themeFill="accent6" w:themeFillTint="75"/>
      </w:tcPr>
    </w:tblStylePr>
    <w:tblStylePr w:type="band1Vert">
      <w:tcPr>
        <w:shd w:val="clear" w:color="fbceaa" w:themeColor="accent6" w:themeTint="75" w:fill="fbceaa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  <w:tcBorders>
          <w:top w:val="single" w:color="FFFFFF" w:themeColor="light1" w:sz="4" w:space="0"/>
        </w:tcBorders>
      </w:tcPr>
    </w:tblStylePr>
  </w:style>
  <w:style w:type="table" w:styleId="782" w:customStyle="1">
    <w:name w:val="Таблица-сетк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b/>
        <w:color w:val="7f7f7f" w:themeColor="text1" w:themeTint="80" w:themeShade="95"/>
      </w:rPr>
    </w:tblStylePr>
    <w:tblStylePr w:type="firstRow">
      <w:rPr>
        <w:b/>
        <w:color w:val="7f7f7f" w:themeColor="text1" w:themeTint="80" w:themeShade="95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b/>
        <w:color w:val="7f7f7f" w:themeColor="text1" w:themeTint="80" w:themeShade="95"/>
      </w:rPr>
    </w:tblStylePr>
    <w:tblStylePr w:type="lastRow">
      <w:rPr>
        <w:b/>
        <w:color w:val="7f7f7f" w:themeColor="text1" w:themeTint="80" w:themeShade="95"/>
      </w:rPr>
    </w:tblStylePr>
  </w:style>
  <w:style w:type="table" w:styleId="783" w:customStyle="1">
    <w:name w:val="Grid Table 6 Colorful - Accent 1"/>
    <w:uiPriority w:val="99"/>
    <w:tblPr>
      <w:tblStyleRowBandSize w:val="1"/>
      <w:tblStyleColBandSize w:val="1"/>
      <w:tblInd w:w="0" w:type="dxa"/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a6bfdd" w:themeColor="accent1" w:themeTint="80" w:themeShade="95"/>
        <w:sz w:val="22"/>
      </w:rPr>
      <w:tcPr>
        <w:shd w:val="clear" w:color="dae5f1" w:themeColor="accent1" w:themeTint="34" w:fill="dae5f1" w:themeFill="accent1" w:themeFillTint="34"/>
      </w:tcPr>
    </w:tblStylePr>
    <w:tblStylePr w:type="band1Vert"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  <w:tblStylePr w:type="firstCol">
      <w:rPr>
        <w:b/>
        <w:color w:val="a6bfdd" w:themeColor="accent1" w:themeTint="80" w:themeShade="95"/>
      </w:rPr>
    </w:tblStylePr>
    <w:tblStylePr w:type="firstRow">
      <w:rPr>
        <w:b/>
        <w:color w:val="a6bfdd" w:themeColor="accent1" w:themeTint="80" w:themeShade="95"/>
      </w:rPr>
      <w:tcPr>
        <w:tcBorders>
          <w:bottom w:val="single" w:color="A6BFDD" w:themeColor="accent1" w:themeTint="80" w:sz="12" w:space="0"/>
        </w:tcBorders>
      </w:tcPr>
    </w:tblStylePr>
    <w:tblStylePr w:type="lastCol">
      <w:rPr>
        <w:b/>
        <w:color w:val="a6bfdd" w:themeColor="accent1" w:themeTint="80" w:themeShade="95"/>
      </w:rPr>
    </w:tblStylePr>
    <w:tblStylePr w:type="lastRow">
      <w:rPr>
        <w:b/>
        <w:color w:val="a6bfdd" w:themeColor="accent1" w:themeTint="80" w:themeShade="95"/>
      </w:rPr>
    </w:tblStylePr>
  </w:style>
  <w:style w:type="table" w:styleId="784" w:customStyle="1">
    <w:name w:val="Grid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d99695" w:themeColor="accent2" w:themeTint="97" w:themeShade="95"/>
        <w:sz w:val="22"/>
      </w:rPr>
      <w:tcPr>
        <w:shd w:val="clear" w:color="f2dcdc" w:themeColor="accent2" w:themeTint="32" w:fill="f2dcdc" w:themeFill="accent2" w:themeFillTint="32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  <w:tblStylePr w:type="firstCol">
      <w:rPr>
        <w:b/>
        <w:color w:val="d99695" w:themeColor="accent2" w:themeTint="97" w:themeShade="95"/>
      </w:rPr>
    </w:tblStylePr>
    <w:tblStylePr w:type="firstRow">
      <w:rPr>
        <w:b/>
        <w:color w:val="d99695" w:themeColor="accent2" w:themeTint="97" w:themeShade="95"/>
      </w:rPr>
      <w:tcPr>
        <w:tcBorders>
          <w:bottom w:val="single" w:color="D99695" w:themeColor="accent2" w:themeTint="97" w:sz="12" w:space="0"/>
        </w:tcBorders>
      </w:tcPr>
    </w:tblStylePr>
    <w:tblStylePr w:type="lastCol">
      <w:rPr>
        <w:b/>
        <w:color w:val="d99695" w:themeColor="accent2" w:themeTint="97" w:themeShade="95"/>
      </w:rPr>
    </w:tblStylePr>
    <w:tblStylePr w:type="lastRow">
      <w:rPr>
        <w:b/>
        <w:color w:val="d99695" w:themeColor="accent2" w:themeTint="97" w:themeShade="95"/>
      </w:rPr>
    </w:tblStylePr>
  </w:style>
  <w:style w:type="table" w:styleId="785" w:customStyle="1">
    <w:name w:val="Grid Table 6 Colorful - Accent 3"/>
    <w:uiPriority w:val="99"/>
    <w:tblPr>
      <w:tblStyleRowBandSize w:val="1"/>
      <w:tblStyleColBandSize w:val="1"/>
      <w:tblInd w:w="0" w:type="dxa"/>
      <w:tblBorders>
        <w:top w:val="single" w:color="9ABB59" w:themeColor="accent3" w:themeTint="FE" w:sz="4" w:space="0"/>
        <w:left w:val="single" w:color="9ABB59" w:themeColor="accent3" w:themeTint="FE" w:sz="4" w:space="0"/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9abb59" w:themeColor="accent3" w:themeTint="FE" w:themeShade="95"/>
        <w:sz w:val="22"/>
      </w:rPr>
      <w:tcPr>
        <w:shd w:val="clear" w:color="eaf1dc" w:themeColor="accent3" w:themeTint="34" w:fill="eaf1dc" w:themeFill="accent3" w:themeFillTint="34"/>
      </w:tcPr>
    </w:tblStylePr>
    <w:tblStylePr w:type="band1Vert"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  <w:tblStylePr w:type="firstCol">
      <w:rPr>
        <w:b/>
        <w:color w:val="9abb59" w:themeColor="accent3" w:themeTint="FE" w:themeShade="95"/>
      </w:rPr>
    </w:tblStylePr>
    <w:tblStylePr w:type="firstRow">
      <w:rPr>
        <w:b/>
        <w:color w:val="9abb59" w:themeColor="accent3" w:themeTint="FE" w:themeShade="95"/>
      </w:rPr>
      <w:tcPr>
        <w:tcBorders>
          <w:bottom w:val="single" w:color="9ABB59" w:themeColor="accent3" w:themeTint="FE" w:sz="12" w:space="0"/>
        </w:tcBorders>
      </w:tcPr>
    </w:tblStylePr>
    <w:tblStylePr w:type="lastCol">
      <w:rPr>
        <w:b/>
        <w:color w:val="9abb59" w:themeColor="accent3" w:themeTint="FE" w:themeShade="95"/>
      </w:rPr>
    </w:tblStylePr>
    <w:tblStylePr w:type="lastRow">
      <w:rPr>
        <w:b/>
        <w:color w:val="9abb59" w:themeColor="accent3" w:themeTint="FE" w:themeShade="95"/>
      </w:rPr>
    </w:tblStylePr>
  </w:style>
  <w:style w:type="table" w:styleId="786" w:customStyle="1">
    <w:name w:val="Grid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b2a1c6" w:themeColor="accent4" w:themeTint="9A" w:themeShade="95"/>
        <w:sz w:val="22"/>
      </w:rPr>
      <w:tcPr>
        <w:shd w:val="clear" w:color="e5dfec" w:themeColor="accent4" w:themeTint="34" w:fill="e5dfec" w:themeFill="accent4" w:themeFillTint="34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  <w:tblStylePr w:type="firstCol">
      <w:rPr>
        <w:b/>
        <w:color w:val="b2a1c6" w:themeColor="accent4" w:themeTint="9A" w:themeShade="95"/>
      </w:rPr>
    </w:tblStylePr>
    <w:tblStylePr w:type="firstRow">
      <w:rPr>
        <w:b/>
        <w:color w:val="b2a1c6" w:themeColor="accent4" w:themeTint="9A" w:themeShade="95"/>
      </w:rPr>
      <w:tcPr>
        <w:tcBorders>
          <w:bottom w:val="single" w:color="B2A1C6" w:themeColor="accent4" w:themeTint="9A" w:sz="12" w:space="0"/>
        </w:tcBorders>
      </w:tcPr>
    </w:tblStylePr>
    <w:tblStylePr w:type="lastCol">
      <w:rPr>
        <w:b/>
        <w:color w:val="b2a1c6" w:themeColor="accent4" w:themeTint="9A" w:themeShade="95"/>
      </w:rPr>
    </w:tblStylePr>
    <w:tblStylePr w:type="lastRow">
      <w:rPr>
        <w:b/>
        <w:color w:val="b2a1c6" w:themeColor="accent4" w:themeTint="9A" w:themeShade="95"/>
      </w:rPr>
    </w:tblStylePr>
  </w:style>
  <w:style w:type="table" w:styleId="787" w:customStyle="1">
    <w:name w:val="Grid Table 6 Colorful - Accent 5"/>
    <w:uiPriority w:val="99"/>
    <w:tblPr>
      <w:tblStyleRowBandSize w:val="1"/>
      <w:tblStyleColBandSize w:val="1"/>
      <w:tblInd w:w="0" w:type="dxa"/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266779" w:themeColor="accent5" w:themeShade="95"/>
        <w:sz w:val="22"/>
      </w:rPr>
      <w:tcPr>
        <w:shd w:val="clear" w:color="daeef3" w:themeColor="accent5" w:themeTint="34" w:fill="daeef3" w:themeFill="accent5" w:themeFillTint="34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  <w:tblStylePr w:type="firstCol">
      <w:rPr>
        <w:b/>
        <w:color w:val="266779" w:themeColor="accent5" w:themeShade="95"/>
      </w:rPr>
    </w:tblStylePr>
    <w:tblStylePr w:type="firstRow">
      <w:rPr>
        <w:b/>
        <w:color w:val="266779" w:themeColor="accent5" w:themeShade="95"/>
      </w:rPr>
      <w:tcPr>
        <w:tcBorders>
          <w:bottom w:val="single" w:color="4BACC6" w:themeColor="accent5" w:sz="12" w:space="0"/>
        </w:tcBorders>
      </w:tcPr>
    </w:tblStylePr>
    <w:tblStylePr w:type="lastCol">
      <w:rPr>
        <w:b/>
        <w:color w:val="266779" w:themeColor="accent5" w:themeShade="95"/>
      </w:rPr>
    </w:tblStylePr>
    <w:tblStylePr w:type="lastRow">
      <w:rPr>
        <w:b/>
        <w:color w:val="266779" w:themeColor="accent5" w:themeShade="95"/>
      </w:rPr>
    </w:tblStylePr>
  </w:style>
  <w:style w:type="table" w:styleId="788" w:customStyle="1">
    <w:name w:val="Grid Table 6 Colorful - Accent 6"/>
    <w:uiPriority w:val="99"/>
    <w:tblPr>
      <w:tblStyleRowBandSize w:val="1"/>
      <w:tblStyleColBandSize w:val="1"/>
      <w:tblInd w:w="0" w:type="dxa"/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266779" w:themeColor="accent5" w:themeShade="95"/>
        <w:sz w:val="22"/>
      </w:rPr>
      <w:tcPr>
        <w:shd w:val="clear" w:color="fde9d8" w:themeColor="accent6" w:themeTint="34" w:fill="fde9d8" w:themeFill="accent6" w:themeFillTint="34"/>
      </w:tcPr>
    </w:tblStylePr>
    <w:tblStylePr w:type="band1Vert"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  <w:tblStylePr w:type="firstCol">
      <w:rPr>
        <w:b/>
        <w:color w:val="266779" w:themeColor="accent5" w:themeShade="95"/>
      </w:rPr>
    </w:tblStylePr>
    <w:tblStylePr w:type="firstRow">
      <w:rPr>
        <w:b/>
        <w:color w:val="266779" w:themeColor="accent5" w:themeShade="95"/>
      </w:rPr>
      <w:tcPr>
        <w:tcBorders>
          <w:bottom w:val="single" w:color="F79646" w:themeColor="accent6" w:sz="12" w:space="0"/>
        </w:tcBorders>
      </w:tcPr>
    </w:tblStylePr>
    <w:tblStylePr w:type="lastCol">
      <w:rPr>
        <w:b/>
        <w:color w:val="266779" w:themeColor="accent5" w:themeShade="95"/>
      </w:rPr>
    </w:tblStylePr>
    <w:tblStylePr w:type="lastRow">
      <w:rPr>
        <w:b/>
        <w:color w:val="266779" w:themeColor="accent5" w:themeShade="95"/>
      </w:rPr>
    </w:tblStylePr>
  </w:style>
  <w:style w:type="table" w:styleId="789" w:customStyle="1">
    <w:name w:val="Таблица-сетка 7 цветная1"/>
    <w:uiPriority w:val="99"/>
    <w:tblPr>
      <w:tblStyleRowBandSize w:val="1"/>
      <w:tblStyleColBandSize w:val="1"/>
      <w:tblInd w:w="0" w:type="dxa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f2f2f2" w:themeColor="text1" w:themeTint="00" w:fill="f2f2f2" w:themeFill="text1" w:themeFillTint="00"/>
      </w:tcPr>
    </w:tblStylePr>
    <w:tblStylePr w:type="band1Vert">
      <w:tcPr>
        <w:shd w:val="clear" w:color="f2f2f2" w:themeColor="text1" w:themeTint="00" w:fill="f2f2f2" w:themeFill="text1" w:themeFillTint="0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0" w:customStyle="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a6bfdd" w:themeColor="accent1" w:themeTint="80" w:themeShade="95"/>
        <w:sz w:val="22"/>
      </w:rPr>
      <w:tcPr>
        <w:shd w:val="clear" w:color="dae5f1" w:themeColor="accent1" w:themeTint="34" w:fill="dae5f1" w:themeFill="accent1" w:themeFillTint="34"/>
      </w:tcPr>
    </w:tblStylePr>
    <w:tblStylePr w:type="band1Vert"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  <w:tblStylePr w:type="firstCol">
      <w:rPr>
        <w:rFonts w:ascii="Arial" w:hAnsi="Arial"/>
        <w:i/>
        <w:color w:val="a6bfdd" w:themeColor="accen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6BFDD" w:themeColor="accent1" w:themeTint="80" w:sz="4" w:space="0"/>
        </w:tcBorders>
      </w:tcPr>
    </w:tblStylePr>
    <w:tblStylePr w:type="firstRow">
      <w:rPr>
        <w:rFonts w:ascii="Arial" w:hAnsi="Arial"/>
        <w:b/>
        <w:color w:val="a6bfdd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6BFDD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A6BFDD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A6BFDD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1" w:customStyle="1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d99695" w:themeColor="accent2" w:themeTint="97" w:themeShade="95"/>
        <w:sz w:val="22"/>
      </w:rPr>
      <w:tcPr>
        <w:shd w:val="clear" w:color="f2dcdc" w:themeColor="accent2" w:themeTint="32" w:fill="f2dcdc" w:themeFill="accent2" w:themeFillTint="32"/>
      </w:tcPr>
    </w:tblStylePr>
    <w:tblStylePr w:type="band1Vert"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  <w:tblStylePr w:type="firstCol">
      <w:rPr>
        <w:rFonts w:ascii="Arial" w:hAnsi="Arial"/>
        <w:i/>
        <w:color w:val="d99695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D99695" w:themeColor="accent2" w:themeTint="97" w:sz="4" w:space="0"/>
        </w:tcBorders>
      </w:tcPr>
    </w:tblStylePr>
    <w:tblStylePr w:type="firstRow">
      <w:rPr>
        <w:rFonts w:ascii="Arial" w:hAnsi="Arial"/>
        <w:b/>
        <w:color w:val="d99695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D99695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D99695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D99695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2" w:customStyle="1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9abb59" w:themeColor="accent3" w:themeTint="FE" w:themeShade="95"/>
        <w:sz w:val="22"/>
      </w:rPr>
      <w:tcPr>
        <w:shd w:val="clear" w:color="eaf1dc" w:themeColor="accent3" w:themeTint="34" w:fill="eaf1dc" w:themeFill="accent3" w:themeFillTint="34"/>
      </w:tcPr>
    </w:tblStylePr>
    <w:tblStylePr w:type="band1Vert"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  <w:tblStylePr w:type="firstCol">
      <w:rPr>
        <w:rFonts w:ascii="Arial" w:hAnsi="Arial"/>
        <w:i/>
        <w:color w:val="9abb59" w:themeColor="accent3" w:themeTint="FE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ABB59" w:themeColor="accent3" w:themeTint="FE" w:sz="4" w:space="0"/>
        </w:tcBorders>
      </w:tcPr>
    </w:tblStylePr>
    <w:tblStylePr w:type="firstRow">
      <w:rPr>
        <w:rFonts w:ascii="Arial" w:hAnsi="Arial"/>
        <w:b/>
        <w:color w:val="9abb59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ABB59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cPr>
        <w:shd w:val="clear" w:color="ffffff" w:fill="auto"/>
        <w:tcBorders>
          <w:top w:val="none" w:color="000000" w:sz="4" w:space="0"/>
          <w:left w:val="single" w:color="9ABB59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9ABB59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3" w:customStyle="1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b2a1c6" w:themeColor="accent4" w:themeTint="9A" w:themeShade="95"/>
        <w:sz w:val="22"/>
      </w:rPr>
      <w:tcPr>
        <w:shd w:val="clear" w:color="e5dfec" w:themeColor="accent4" w:themeTint="34" w:fill="e5dfec" w:themeFill="accent4" w:themeFillTint="34"/>
      </w:tcPr>
    </w:tblStylePr>
    <w:tblStylePr w:type="band1Vert"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  <w:tblStylePr w:type="firstCol">
      <w:rPr>
        <w:rFonts w:ascii="Arial" w:hAnsi="Arial"/>
        <w:i/>
        <w:color w:val="b2a1c6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B2A1C6" w:themeColor="accent4" w:themeTint="9A" w:sz="4" w:space="0"/>
        </w:tcBorders>
      </w:tcPr>
    </w:tblStylePr>
    <w:tblStylePr w:type="firstRow">
      <w:rPr>
        <w:rFonts w:ascii="Arial" w:hAnsi="Arial"/>
        <w:b/>
        <w:color w:val="b2a1c6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B2A1C6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B2A1C6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B2A1C6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4" w:customStyle="1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266779" w:themeColor="accent5" w:themeShade="95"/>
        <w:sz w:val="22"/>
      </w:rPr>
      <w:tcPr>
        <w:shd w:val="clear" w:color="daeef3" w:themeColor="accent5" w:themeTint="34" w:fill="daeef3" w:themeFill="accent5" w:themeFillTint="34"/>
      </w:tcPr>
    </w:tblStylePr>
    <w:tblStylePr w:type="band1Vert"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  <w:tblStylePr w:type="firstCol">
      <w:rPr>
        <w:rFonts w:ascii="Arial" w:hAnsi="Arial"/>
        <w:i/>
        <w:color w:val="266779" w:themeColor="accent5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9D0DE" w:themeColor="accent5" w:themeTint="90" w:sz="4" w:space="0"/>
        </w:tcBorders>
      </w:tcPr>
    </w:tblStylePr>
    <w:tblStylePr w:type="firstRow">
      <w:rPr>
        <w:rFonts w:ascii="Arial" w:hAnsi="Arial"/>
        <w:b/>
        <w:color w:val="266779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9D0DE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cPr>
        <w:shd w:val="clear" w:color="ffffff" w:fill="auto"/>
        <w:tcBorders>
          <w:top w:val="none" w:color="000000" w:sz="4" w:space="0"/>
          <w:left w:val="single" w:color="99D0DE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cPr>
        <w:shd w:val="clear" w:color="ffffff" w:themeColor="light1" w:fill="ffffff" w:themeFill="light1"/>
        <w:tcBorders>
          <w:top w:val="single" w:color="99D0DE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5" w:customStyle="1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b15407" w:themeColor="accent6" w:themeShade="95"/>
        <w:sz w:val="22"/>
      </w:rPr>
      <w:tcPr>
        <w:shd w:val="clear" w:color="fde9d8" w:themeColor="accent6" w:themeTint="34" w:fill="fde9d8" w:themeFill="accent6" w:themeFillTint="34"/>
      </w:tcPr>
    </w:tblStylePr>
    <w:tblStylePr w:type="band1Vert"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  <w:tblStylePr w:type="firstCol">
      <w:rPr>
        <w:rFonts w:ascii="Arial" w:hAnsi="Arial"/>
        <w:i/>
        <w:color w:val="b15407" w:themeColor="accent6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AC396" w:themeColor="accent6" w:themeTint="90" w:sz="4" w:space="0"/>
        </w:tcBorders>
      </w:tcPr>
    </w:tblStylePr>
    <w:tblStylePr w:type="firstRow">
      <w:rPr>
        <w:rFonts w:ascii="Arial" w:hAnsi="Arial"/>
        <w:b/>
        <w:color w:val="b15407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AC396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cPr>
        <w:shd w:val="clear" w:color="ffffff" w:fill="auto"/>
        <w:tcBorders>
          <w:top w:val="none" w:color="000000" w:sz="4" w:space="0"/>
          <w:left w:val="single" w:color="FAC396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cPr>
        <w:shd w:val="clear" w:color="ffffff" w:themeColor="light1" w:fill="ffffff" w:themeFill="light1"/>
        <w:tcBorders>
          <w:top w:val="single" w:color="FAC396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6" w:customStyle="1">
    <w:name w:val="Список-таблица 1 светлая1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7" w:customStyle="1">
    <w:name w:val="List Table 1 Light - Accent 1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d2dfee" w:themeColor="accent1" w:themeTint="40" w:fill="d2dfee" w:themeFill="accent1" w:themeFillTint="40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F81BD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F81BD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8" w:customStyle="1">
    <w:name w:val="List Table 1 Light - Accent 2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efd2d2" w:themeColor="accent2" w:themeTint="40" w:fill="efd2d2" w:themeFill="accent2" w:themeFillTint="40"/>
      </w:tcPr>
    </w:tblStylePr>
    <w:tblStylePr w:type="band1Vert">
      <w:tcPr>
        <w:shd w:val="clear" w:color="efd2d2" w:themeColor="accent2" w:themeTint="40" w:fill="efd2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C0504D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C0504D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99" w:customStyle="1">
    <w:name w:val="List Table 1 Light - Accent 3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e5eed5" w:themeColor="accent3" w:themeTint="40" w:fill="e5eed5" w:themeFill="accent3" w:themeFillTint="40"/>
      </w:tcPr>
    </w:tblStylePr>
    <w:tblStylePr w:type="band1Vert">
      <w:tcPr>
        <w:shd w:val="clear" w:color="e5eed5" w:themeColor="accent3" w:themeTint="40" w:fill="e5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9BBB59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9BBB59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0" w:customStyle="1">
    <w:name w:val="List Table 1 Light - Accent 4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dfd8e7" w:themeColor="accent4" w:themeTint="40" w:fill="dfd8e7" w:themeFill="accent4" w:themeFillTint="40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8064A2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8064A2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1" w:customStyle="1">
    <w:name w:val="List Table 1 Light - Accent 5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d1eaf0" w:themeColor="accent5" w:themeTint="40" w:fill="d1eaf0" w:themeFill="accent5" w:themeFillTint="40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BACC6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2" w:customStyle="1">
    <w:name w:val="List Table 1 Light - Accent 6"/>
    <w:uiPriority w:val="99"/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fde4d0" w:themeColor="accent6" w:themeTint="40" w:fill="fde4d0" w:themeFill="accent6" w:themeFillTint="40"/>
      </w:tcPr>
    </w:tblStylePr>
    <w:tblStylePr w:type="band1Vert">
      <w:tcPr>
        <w:shd w:val="clear" w:color="fde4d0" w:themeColor="accent6" w:themeTint="40" w:fill="fde4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F79646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3" w:customStyle="1">
    <w:name w:val="Список-таблица 21"/>
    <w:uiPriority w:val="9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</w:style>
  <w:style w:type="table" w:styleId="804" w:customStyle="1">
    <w:name w:val="List Table 2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one" w:color="000000" w:sz="4" w:space="0"/>
          <w:bottom w:val="single" w:color="9BB7D9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BB7D9" w:themeColor="accent1" w:themeTint="90" w:sz="4" w:space="0"/>
          <w:left w:val="none" w:color="000000" w:sz="4" w:space="0"/>
          <w:bottom w:val="single" w:color="9BB7D9" w:themeColor="accent1" w:themeTint="90" w:sz="4" w:space="0"/>
          <w:right w:val="none" w:color="000000" w:sz="4" w:space="0"/>
        </w:tcBorders>
      </w:tcPr>
    </w:tblStylePr>
  </w:style>
  <w:style w:type="table" w:styleId="805" w:customStyle="1">
    <w:name w:val="List Table 2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bottom w:val="single" w:color="DB9B9A" w:themeColor="accent2" w:themeTint="90" w:sz="4" w:space="0"/>
        <w:insideH w:val="single" w:color="DB9B9A" w:themeColor="accent2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fd2d2" w:themeColor="accent2" w:themeTint="40" w:fill="efd2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fd2d2" w:themeColor="accent2" w:themeTint="40" w:fill="efd2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DB9B9A" w:themeColor="accent2" w:themeTint="90" w:sz="4" w:space="0"/>
          <w:left w:val="none" w:color="000000" w:sz="4" w:space="0"/>
          <w:bottom w:val="single" w:color="DB9B9A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DB9B9A" w:themeColor="accent2" w:themeTint="90" w:sz="4" w:space="0"/>
          <w:left w:val="none" w:color="000000" w:sz="4" w:space="0"/>
          <w:bottom w:val="single" w:color="DB9B9A" w:themeColor="accent2" w:themeTint="90" w:sz="4" w:space="0"/>
          <w:right w:val="none" w:color="000000" w:sz="4" w:space="0"/>
        </w:tcBorders>
      </w:tcPr>
    </w:tblStylePr>
  </w:style>
  <w:style w:type="table" w:styleId="806" w:customStyle="1">
    <w:name w:val="List Table 2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5eed5" w:themeColor="accent3" w:themeTint="40" w:fill="e5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5eed5" w:themeColor="accent3" w:themeTint="40" w:fill="e5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one" w:color="000000" w:sz="4" w:space="0"/>
          <w:bottom w:val="single" w:color="C6D8A1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6D8A1" w:themeColor="accent3" w:themeTint="90" w:sz="4" w:space="0"/>
          <w:left w:val="none" w:color="000000" w:sz="4" w:space="0"/>
          <w:bottom w:val="single" w:color="C6D8A1" w:themeColor="accent3" w:themeTint="90" w:sz="4" w:space="0"/>
          <w:right w:val="none" w:color="000000" w:sz="4" w:space="0"/>
        </w:tcBorders>
      </w:tcPr>
    </w:tblStylePr>
  </w:style>
  <w:style w:type="table" w:styleId="807" w:customStyle="1">
    <w:name w:val="List Table 2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one" w:color="000000" w:sz="4" w:space="0"/>
          <w:bottom w:val="single" w:color="B7A7CA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7A7CA" w:themeColor="accent4" w:themeTint="90" w:sz="4" w:space="0"/>
          <w:left w:val="none" w:color="000000" w:sz="4" w:space="0"/>
          <w:bottom w:val="single" w:color="B7A7CA" w:themeColor="accent4" w:themeTint="90" w:sz="4" w:space="0"/>
          <w:right w:val="none" w:color="000000" w:sz="4" w:space="0"/>
        </w:tcBorders>
      </w:tcPr>
    </w:tblStylePr>
  </w:style>
  <w:style w:type="table" w:styleId="808" w:customStyle="1">
    <w:name w:val="List Table 2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one" w:color="000000" w:sz="4" w:space="0"/>
          <w:bottom w:val="single" w:color="99D0DE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9D0DE" w:themeColor="accent5" w:themeTint="90" w:sz="4" w:space="0"/>
          <w:left w:val="none" w:color="000000" w:sz="4" w:space="0"/>
          <w:bottom w:val="single" w:color="99D0DE" w:themeColor="accent5" w:themeTint="90" w:sz="4" w:space="0"/>
          <w:right w:val="none" w:color="000000" w:sz="4" w:space="0"/>
        </w:tcBorders>
      </w:tcPr>
    </w:tblStylePr>
  </w:style>
  <w:style w:type="table" w:styleId="809" w:customStyle="1">
    <w:name w:val="List Table 2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de4d0" w:themeColor="accent6" w:themeTint="40" w:fill="fde4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de4d0" w:themeColor="accent6" w:themeTint="40" w:fill="fde4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one" w:color="000000" w:sz="4" w:space="0"/>
          <w:bottom w:val="single" w:color="FAC396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AC396" w:themeColor="accent6" w:themeTint="90" w:sz="4" w:space="0"/>
          <w:left w:val="none" w:color="000000" w:sz="4" w:space="0"/>
          <w:bottom w:val="single" w:color="FAC396" w:themeColor="accent6" w:themeTint="90" w:sz="4" w:space="0"/>
          <w:right w:val="none" w:color="000000" w:sz="4" w:space="0"/>
        </w:tcBorders>
      </w:tcPr>
    </w:tblStylePr>
  </w:style>
  <w:style w:type="table" w:styleId="810" w:customStyle="1">
    <w:name w:val="Список-таблица 3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1" w:customStyle="1">
    <w:name w:val="List Table 3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2" w:customStyle="1">
    <w:name w:val="List Table 3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D99695" w:themeColor="accent2" w:themeTint="97" w:sz="4" w:space="0"/>
          <w:bottom w:val="single" w:color="D99695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D99695" w:themeColor="accent2" w:themeTint="97" w:sz="4" w:space="0"/>
          <w:right w:val="single" w:color="D9969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d99695" w:themeColor="accent2" w:themeTint="97" w:fill="d9969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3" w:customStyle="1">
    <w:name w:val="List Table 3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left w:val="single" w:color="C3D69B" w:themeColor="accent3" w:themeTint="98" w:sz="4" w:space="0"/>
        <w:bottom w:val="single" w:color="C3D69B" w:themeColor="accent3" w:themeTint="98" w:sz="4" w:space="0"/>
        <w:right w:val="single" w:color="C3D69B" w:themeColor="accent3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C3D69B" w:themeColor="accent3" w:themeTint="98" w:sz="4" w:space="0"/>
          <w:bottom w:val="single" w:color="C3D69B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3D69B" w:themeColor="accent3" w:themeTint="98" w:sz="4" w:space="0"/>
          <w:right w:val="single" w:color="C3D69B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3d69b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4" w:customStyle="1">
    <w:name w:val="List Table 3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B2A1C6" w:themeColor="accent4" w:themeTint="9A" w:sz="4" w:space="0"/>
          <w:bottom w:val="single" w:color="B2A1C6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B2A1C6" w:themeColor="accent4" w:themeTint="9A" w:sz="4" w:space="0"/>
          <w:right w:val="single" w:color="B2A1C6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5" w:customStyle="1">
    <w:name w:val="List Table 3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92CCDC" w:themeColor="accent5" w:themeTint="9A" w:sz="4" w:space="0"/>
          <w:bottom w:val="single" w:color="92CCDC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2CCDC" w:themeColor="accent5" w:themeTint="9A" w:sz="4" w:space="0"/>
          <w:right w:val="single" w:color="92CCDC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92ccdc" w:themeColor="accent5" w:themeTint="9A" w:fill="92cc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6" w:customStyle="1">
    <w:name w:val="List Table 3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FAC090" w:themeColor="accent6" w:themeTint="98" w:sz="4" w:space="0"/>
          <w:bottom w:val="single" w:color="FAC09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AC090" w:themeColor="accent6" w:themeTint="98" w:sz="4" w:space="0"/>
          <w:right w:val="single" w:color="FAC09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ac090" w:themeColor="accent6" w:themeTint="98" w:fill="fac0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7" w:customStyle="1">
    <w:name w:val="Список-таблица 4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8" w:customStyle="1">
    <w:name w:val="List Table 4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2dfee" w:themeColor="accent1" w:themeTint="40" w:fill="d2df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f81bd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19" w:customStyle="1">
    <w:name w:val="List Table 4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fd2d2" w:themeColor="accent2" w:themeTint="40" w:fill="efd2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fd2d2" w:themeColor="accent2" w:themeTint="40" w:fill="efd2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0504d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0" w:customStyle="1">
    <w:name w:val="List Table 4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e5eed5" w:themeColor="accent3" w:themeTint="40" w:fill="e5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5eed5" w:themeColor="accent3" w:themeTint="40" w:fill="e5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9bbb59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1" w:customStyle="1">
    <w:name w:val="List Table 4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fd8e7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8064a2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2" w:customStyle="1">
    <w:name w:val="List Table 4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1eaf0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bacc6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3" w:customStyle="1">
    <w:name w:val="List Table 4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shd w:val="clear" w:color="fde4d0" w:themeColor="accent6" w:themeTint="40" w:fill="fde4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de4d0" w:themeColor="accent6" w:themeTint="40" w:fill="fde4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79646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824" w:customStyle="1">
    <w:name w:val="Список-таблица 5 тем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shd w:val="clear" w:color="7f7f7f" w:themeColor="text1" w:themeTint="80" w:fill="7f7f7f" w:themeFill="text1" w:themeFillTint="80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7f7f7f" w:themeColor="text1" w:themeTint="80" w:fill="7f7f7f" w:themeFill="text1" w:themeFillTint="80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F7F7F" w:themeColor="text1" w:themeTint="80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7f7f7f" w:themeColor="text1" w:themeTint="80" w:fill="7f7f7f" w:themeFill="text1" w:themeFillTint="80"/>
        <w:tcBorders>
          <w:top w:val="single" w:color="7F7F7F" w:themeColor="text1" w:themeTint="80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F7F7F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25" w:customStyle="1">
    <w:name w:val="List Table 5 Dark - Accent 1"/>
    <w:uiPriority w:val="99"/>
    <w:tblPr>
      <w:tblStyleRowBandSize w:val="1"/>
      <w:tblStyleColBandSize w:val="1"/>
      <w:tblInd w:w="0" w:type="dxa"/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shd w:val="clear" w:color="4f81bd" w:themeColor="accent1" w:fill="4f81bd" w:themeFill="accent1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4f81bd" w:themeColor="accent1" w:fill="4f81bd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4f81bd" w:themeColor="accent1" w:fill="4f81bd" w:themeFill="accent1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4f81bd" w:themeColor="accent1" w:fill="4f81bd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4f81bd" w:themeColor="accent1" w:fill="4f81bd" w:themeFill="accent1"/>
        <w:tcBorders>
          <w:top w:val="single" w:color="4F81BD" w:themeColor="accent1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26" w:customStyle="1">
    <w:name w:val="List Table 5 Dark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32" w:space="0"/>
        <w:left w:val="single" w:color="D99695" w:themeColor="accent2" w:themeTint="97" w:sz="32" w:space="0"/>
        <w:bottom w:val="single" w:color="D99695" w:themeColor="accent2" w:themeTint="97" w:sz="32" w:space="0"/>
        <w:right w:val="single" w:color="D99695" w:themeColor="accent2" w:themeTint="97" w:sz="32" w:space="0"/>
      </w:tblBorders>
      <w:shd w:val="clear" w:color="d99695" w:themeColor="accent2" w:themeTint="97" w:fill="d99695" w:themeFill="accent2" w:themeFillTint="97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d99695" w:themeColor="accent2" w:themeTint="97" w:fill="d99695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d99695" w:themeColor="accent2" w:themeTint="97" w:fill="d99695" w:themeFill="accent2" w:themeFillTint="97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d99695" w:themeColor="accent2" w:themeTint="97" w:fill="d99695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D99695" w:themeColor="accent2" w:themeTint="97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d99695" w:themeColor="accent2" w:themeTint="97" w:fill="d99695" w:themeFill="accent2" w:themeFillTint="97"/>
        <w:tcBorders>
          <w:top w:val="single" w:color="D99695" w:themeColor="accent2" w:themeTint="97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D99695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27" w:customStyle="1">
    <w:name w:val="List Table 5 Dark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32" w:space="0"/>
        <w:left w:val="single" w:color="C3D69B" w:themeColor="accent3" w:themeTint="98" w:sz="32" w:space="0"/>
        <w:bottom w:val="single" w:color="C3D69B" w:themeColor="accent3" w:themeTint="98" w:sz="32" w:space="0"/>
        <w:right w:val="single" w:color="C3D69B" w:themeColor="accent3" w:themeTint="98" w:sz="32" w:space="0"/>
      </w:tblBorders>
      <w:shd w:val="clear" w:color="c3d69b" w:themeColor="accent3" w:themeTint="98" w:fill="c3d69b" w:themeFill="accent3" w:themeFillTint="98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c3d69b" w:themeColor="accent3" w:themeTint="98" w:fill="c3d69b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c3d69b" w:themeColor="accent3" w:themeTint="98" w:fill="c3d69b" w:themeFill="accent3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c3d69b" w:themeColor="accent3" w:themeTint="98" w:fill="c3d69b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3D69B" w:themeColor="accent3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c3d69b" w:themeColor="accent3" w:themeTint="98" w:fill="c3d69b" w:themeFill="accent3" w:themeFillTint="98"/>
        <w:tcBorders>
          <w:top w:val="single" w:color="C3D69B" w:themeColor="accent3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3D69B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28" w:customStyle="1">
    <w:name w:val="List Table 5 Dark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shd w:val="clear" w:color="b2a1c6" w:themeColor="accent4" w:themeTint="9A" w:fill="b2a1c6" w:themeFill="accent4" w:themeFillTint="9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b2a1c6" w:themeColor="accent4" w:themeTint="9A" w:fill="b2a1c6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b2a1c6" w:themeColor="accent4" w:themeTint="9A" w:fill="b2a1c6" w:themeFill="accent4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b2a1c6" w:themeColor="accent4" w:themeTint="9A" w:fill="b2a1c6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B2A1C6" w:themeColor="accent4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b2a1c6" w:themeColor="accent4" w:themeTint="9A" w:fill="b2a1c6" w:themeFill="accent4" w:themeFillTint="9A"/>
        <w:tcBorders>
          <w:top w:val="single" w:color="B2A1C6" w:themeColor="accent4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B2A1C6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29" w:customStyle="1">
    <w:name w:val="List Table 5 Dark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shd w:val="clear" w:color="92ccdc" w:themeColor="accent5" w:themeTint="9A" w:fill="92ccdc" w:themeFill="accent5" w:themeFillTint="9A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92ccdc" w:themeColor="accent5" w:themeTint="9A" w:fill="92ccdc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92ccdc" w:themeColor="accent5" w:themeTint="9A" w:fill="92ccdc" w:themeFill="accent5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92ccdc" w:themeColor="accent5" w:themeTint="9A" w:fill="92ccdc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92CCDC" w:themeColor="accent5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92ccdc" w:themeColor="accent5" w:themeTint="9A" w:fill="92ccdc" w:themeFill="accent5" w:themeFillTint="9A"/>
        <w:tcBorders>
          <w:top w:val="single" w:color="92CCDC" w:themeColor="accent5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2CCDC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30" w:customStyle="1">
    <w:name w:val="List Table 5 Dark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shd w:val="clear" w:color="fac090" w:themeColor="accent6" w:themeTint="98" w:fill="fac090" w:themeFill="accent6" w:themeFillTint="98"/>
      <w:tblCellMar>
        <w:left w:w="0" w:type="dxa"/>
        <w:top w:w="0" w:type="dxa"/>
        <w:right w:w="0" w:type="dxa"/>
        <w:bottom w:w="0" w:type="dxa"/>
      </w:tblCellMar>
    </w:tblPr>
    <w:tblStylePr w:type="band1Horz">
      <w:tcPr>
        <w:shd w:val="clear" w:color="fac090" w:themeColor="accent6" w:themeTint="98" w:fill="fac090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ac090" w:themeColor="accent6" w:themeTint="98" w:fill="fac090" w:themeFill="accent6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ac090" w:themeColor="accent6" w:themeTint="98" w:fill="fac090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AC090" w:themeColor="accent6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ac090" w:themeColor="accent6" w:themeTint="98" w:fill="fac090" w:themeFill="accent6" w:themeFillTint="98"/>
        <w:tcBorders>
          <w:top w:val="single" w:color="FAC090" w:themeColor="accent6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AC09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831" w:customStyle="1">
    <w:name w:val="Список-таблиц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bottom w:val="single" w:color="7F7F7F" w:themeColor="tex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000000" w:themeColor="text1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7F7F7F" w:themeColor="text1" w:themeTint="80" w:sz="4" w:space="0"/>
        </w:tcBorders>
      </w:tcPr>
    </w:tblStylePr>
  </w:style>
  <w:style w:type="table" w:styleId="832" w:customStyle="1">
    <w:name w:val="List Table 6 Colorful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bottom w:val="single" w:color="4F81BD" w:themeColor="accent1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2a4a71" w:themeColor="accent1" w:themeShade="95"/>
        <w:sz w:val="22"/>
      </w:rPr>
      <w:tcPr>
        <w:shd w:val="clear" w:color="d2dfee" w:themeColor="accent1" w:themeTint="40" w:fill="d2dfee" w:themeFill="accent1" w:themeFillTint="40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  <w:tblStylePr w:type="firstCol">
      <w:rPr>
        <w:b/>
        <w:color w:val="2a4a71" w:themeColor="accent1" w:themeShade="95"/>
      </w:rPr>
    </w:tblStylePr>
    <w:tblStylePr w:type="firstRow">
      <w:rPr>
        <w:b/>
        <w:color w:val="2a4a71" w:themeColor="accent1" w:themeShade="95"/>
      </w:rPr>
      <w:tcPr>
        <w:tcBorders>
          <w:bottom w:val="single" w:color="4F81BD" w:themeColor="accent1" w:sz="4" w:space="0"/>
        </w:tcBorders>
      </w:tcPr>
    </w:tblStylePr>
    <w:tblStylePr w:type="lastCol">
      <w:rPr>
        <w:b/>
        <w:color w:val="2a4a71" w:themeColor="accent1" w:themeShade="95"/>
      </w:rPr>
    </w:tblStylePr>
    <w:tblStylePr w:type="lastRow">
      <w:rPr>
        <w:b/>
        <w:color w:val="2a4a71" w:themeColor="accent1" w:themeShade="95"/>
      </w:rPr>
      <w:tcPr>
        <w:tcBorders>
          <w:top w:val="single" w:color="4F81BD" w:themeColor="accent1" w:sz="4" w:space="0"/>
        </w:tcBorders>
      </w:tcPr>
    </w:tblStylePr>
  </w:style>
  <w:style w:type="table" w:styleId="833" w:customStyle="1">
    <w:name w:val="List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bottom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d99695" w:themeColor="accent2" w:themeTint="97" w:themeShade="95"/>
        <w:sz w:val="22"/>
      </w:rPr>
      <w:tcPr>
        <w:shd w:val="clear" w:color="efd2d2" w:themeColor="accent2" w:themeTint="40" w:fill="efd2d2" w:themeFill="accent2" w:themeFillTint="40"/>
      </w:tcPr>
    </w:tblStylePr>
    <w:tblStylePr w:type="band1Vert"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  <w:tblStylePr w:type="firstCol">
      <w:rPr>
        <w:b/>
        <w:color w:val="d99695" w:themeColor="accent2" w:themeTint="97" w:themeShade="95"/>
      </w:rPr>
    </w:tblStylePr>
    <w:tblStylePr w:type="firstRow">
      <w:rPr>
        <w:b/>
        <w:color w:val="d99695" w:themeColor="accent2" w:themeTint="97" w:themeShade="95"/>
      </w:rPr>
      <w:tcPr>
        <w:tcBorders>
          <w:bottom w:val="single" w:color="D99695" w:themeColor="accent2" w:themeTint="97" w:sz="4" w:space="0"/>
        </w:tcBorders>
      </w:tcPr>
    </w:tblStylePr>
    <w:tblStylePr w:type="lastCol">
      <w:rPr>
        <w:b/>
        <w:color w:val="d99695" w:themeColor="accent2" w:themeTint="97" w:themeShade="95"/>
      </w:rPr>
    </w:tblStylePr>
    <w:tblStylePr w:type="lastRow">
      <w:rPr>
        <w:b/>
        <w:color w:val="d99695" w:themeColor="accent2" w:themeTint="97" w:themeShade="95"/>
      </w:rPr>
      <w:tcPr>
        <w:tcBorders>
          <w:top w:val="single" w:color="D99695" w:themeColor="accent2" w:themeTint="97" w:sz="4" w:space="0"/>
        </w:tcBorders>
      </w:tcPr>
    </w:tblStylePr>
  </w:style>
  <w:style w:type="table" w:styleId="834" w:customStyle="1">
    <w:name w:val="List Table 6 Colorful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bottom w:val="single" w:color="C3D69B" w:themeColor="accent3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c3d69b" w:themeColor="accent3" w:themeTint="98" w:themeShade="95"/>
        <w:sz w:val="22"/>
      </w:rPr>
      <w:tcPr>
        <w:shd w:val="clear" w:color="e5eed5" w:themeColor="accent3" w:themeTint="40" w:fill="e5eed5" w:themeFill="accent3" w:themeFillTint="40"/>
      </w:tcPr>
    </w:tblStylePr>
    <w:tblStylePr w:type="band1Vert"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  <w:tblStylePr w:type="firstCol">
      <w:rPr>
        <w:b/>
        <w:color w:val="c3d69b" w:themeColor="accent3" w:themeTint="98" w:themeShade="95"/>
      </w:rPr>
    </w:tblStylePr>
    <w:tblStylePr w:type="firstRow">
      <w:rPr>
        <w:b/>
        <w:color w:val="c3d69b" w:themeColor="accent3" w:themeTint="98" w:themeShade="95"/>
      </w:rPr>
      <w:tcPr>
        <w:tcBorders>
          <w:bottom w:val="single" w:color="C3D69B" w:themeColor="accent3" w:themeTint="98" w:sz="4" w:space="0"/>
        </w:tcBorders>
      </w:tcPr>
    </w:tblStylePr>
    <w:tblStylePr w:type="lastCol">
      <w:rPr>
        <w:b/>
        <w:color w:val="c3d69b" w:themeColor="accent3" w:themeTint="98" w:themeShade="95"/>
      </w:rPr>
    </w:tblStylePr>
    <w:tblStylePr w:type="lastRow">
      <w:rPr>
        <w:b/>
        <w:color w:val="c3d69b" w:themeColor="accent3" w:themeTint="98" w:themeShade="95"/>
      </w:rPr>
      <w:tcPr>
        <w:tcBorders>
          <w:top w:val="single" w:color="C3D69B" w:themeColor="accent3" w:themeTint="98" w:sz="4" w:space="0"/>
        </w:tcBorders>
      </w:tcPr>
    </w:tblStylePr>
  </w:style>
  <w:style w:type="table" w:styleId="835" w:customStyle="1">
    <w:name w:val="List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b2a1c6" w:themeColor="accent4" w:themeTint="9A" w:themeShade="95"/>
        <w:sz w:val="22"/>
      </w:rPr>
      <w:tcPr>
        <w:shd w:val="clear" w:color="dfd8e7" w:themeColor="accent4" w:themeTint="40" w:fill="dfd8e7" w:themeFill="accent4" w:themeFillTint="40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  <w:tblStylePr w:type="firstCol">
      <w:rPr>
        <w:b/>
        <w:color w:val="b2a1c6" w:themeColor="accent4" w:themeTint="9A" w:themeShade="95"/>
      </w:rPr>
    </w:tblStylePr>
    <w:tblStylePr w:type="firstRow">
      <w:rPr>
        <w:b/>
        <w:color w:val="b2a1c6" w:themeColor="accent4" w:themeTint="9A" w:themeShade="95"/>
      </w:rPr>
      <w:tcPr>
        <w:tcBorders>
          <w:bottom w:val="single" w:color="B2A1C6" w:themeColor="accent4" w:themeTint="9A" w:sz="4" w:space="0"/>
        </w:tcBorders>
      </w:tcPr>
    </w:tblStylePr>
    <w:tblStylePr w:type="lastCol">
      <w:rPr>
        <w:b/>
        <w:color w:val="b2a1c6" w:themeColor="accent4" w:themeTint="9A" w:themeShade="95"/>
      </w:rPr>
    </w:tblStylePr>
    <w:tblStylePr w:type="lastRow">
      <w:rPr>
        <w:b/>
        <w:color w:val="b2a1c6" w:themeColor="accent4" w:themeTint="9A" w:themeShade="95"/>
      </w:rPr>
      <w:tcPr>
        <w:tcBorders>
          <w:top w:val="single" w:color="B2A1C6" w:themeColor="accent4" w:themeTint="9A" w:sz="4" w:space="0"/>
        </w:tcBorders>
      </w:tcPr>
    </w:tblStylePr>
  </w:style>
  <w:style w:type="table" w:styleId="836" w:customStyle="1">
    <w:name w:val="List Table 6 Colorful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92ccdc" w:themeColor="accent5" w:themeTint="9A" w:themeShade="95"/>
        <w:sz w:val="22"/>
      </w:rPr>
      <w:tcPr>
        <w:shd w:val="clear" w:color="d1eaf0" w:themeColor="accent5" w:themeTint="40" w:fill="d1eaf0" w:themeFill="accent5" w:themeFillTint="40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  <w:tblStylePr w:type="firstCol">
      <w:rPr>
        <w:b/>
        <w:color w:val="92ccdc" w:themeColor="accent5" w:themeTint="9A" w:themeShade="95"/>
      </w:rPr>
    </w:tblStylePr>
    <w:tblStylePr w:type="firstRow">
      <w:rPr>
        <w:b/>
        <w:color w:val="92ccdc" w:themeColor="accent5" w:themeTint="9A" w:themeShade="95"/>
      </w:rPr>
      <w:tcPr>
        <w:tcBorders>
          <w:bottom w:val="single" w:color="92CCDC" w:themeColor="accent5" w:themeTint="9A" w:sz="4" w:space="0"/>
        </w:tcBorders>
      </w:tcPr>
    </w:tblStylePr>
    <w:tblStylePr w:type="lastCol">
      <w:rPr>
        <w:b/>
        <w:color w:val="92ccdc" w:themeColor="accent5" w:themeTint="9A" w:themeShade="95"/>
      </w:rPr>
    </w:tblStylePr>
    <w:tblStylePr w:type="lastRow">
      <w:rPr>
        <w:b/>
        <w:color w:val="92ccdc" w:themeColor="accent5" w:themeTint="9A" w:themeShade="95"/>
      </w:rPr>
      <w:tcPr>
        <w:tcBorders>
          <w:top w:val="single" w:color="92CCDC" w:themeColor="accent5" w:themeTint="9A" w:sz="4" w:space="0"/>
        </w:tcBorders>
      </w:tcPr>
    </w:tblStylePr>
  </w:style>
  <w:style w:type="table" w:styleId="837" w:customStyle="1">
    <w:name w:val="List Table 6 Colorful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fac090" w:themeColor="accent6" w:themeTint="98" w:themeShade="95"/>
        <w:sz w:val="22"/>
      </w:rPr>
      <w:tcPr>
        <w:shd w:val="clear" w:color="fde4d0" w:themeColor="accent6" w:themeTint="40" w:fill="fde4d0" w:themeFill="accent6" w:themeFillTint="40"/>
      </w:tcPr>
    </w:tblStylePr>
    <w:tblStylePr w:type="band1Vert"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  <w:tblStylePr w:type="firstCol">
      <w:rPr>
        <w:b/>
        <w:color w:val="fac090" w:themeColor="accent6" w:themeTint="98" w:themeShade="95"/>
      </w:rPr>
    </w:tblStylePr>
    <w:tblStylePr w:type="firstRow">
      <w:rPr>
        <w:b/>
        <w:color w:val="fac090" w:themeColor="accent6" w:themeTint="98" w:themeShade="95"/>
      </w:rPr>
      <w:tcPr>
        <w:tcBorders>
          <w:bottom w:val="single" w:color="FAC090" w:themeColor="accent6" w:themeTint="98" w:sz="4" w:space="0"/>
        </w:tcBorders>
      </w:tcPr>
    </w:tblStylePr>
    <w:tblStylePr w:type="lastCol">
      <w:rPr>
        <w:b/>
        <w:color w:val="fac090" w:themeColor="accent6" w:themeTint="98" w:themeShade="95"/>
      </w:rPr>
    </w:tblStylePr>
    <w:tblStylePr w:type="lastRow">
      <w:rPr>
        <w:b/>
        <w:color w:val="fac090" w:themeColor="accent6" w:themeTint="98" w:themeShade="95"/>
      </w:rPr>
      <w:tcPr>
        <w:tcBorders>
          <w:top w:val="single" w:color="FAC090" w:themeColor="accent6" w:themeTint="98" w:sz="4" w:space="0"/>
        </w:tcBorders>
      </w:tcPr>
    </w:tblStylePr>
  </w:style>
  <w:style w:type="table" w:styleId="838" w:customStyle="1">
    <w:name w:val="Список-таблица 7 цветная1"/>
    <w:uiPriority w:val="99"/>
    <w:tblPr>
      <w:tblStyleRowBandSize w:val="1"/>
      <w:tblStyleColBandSize w:val="1"/>
      <w:tblInd w:w="0" w:type="dxa"/>
      <w:tblBorders>
        <w:right w:val="single" w:color="7F7F7F" w:themeColor="text1" w:themeTint="80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39" w:customStyle="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color="4F81BD" w:themeColor="accent1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2a4a71" w:themeColor="accent1" w:themeShade="95"/>
        <w:sz w:val="22"/>
      </w:rPr>
      <w:tcPr>
        <w:shd w:val="clear" w:color="d2dfee" w:themeColor="accent1" w:themeTint="40" w:fill="d2dfee" w:themeFill="accent1" w:themeFillTint="40"/>
      </w:tcPr>
    </w:tblStylePr>
    <w:tblStylePr w:type="band1Vert"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  <w:tblStylePr w:type="firstCol">
      <w:rPr>
        <w:rFonts w:ascii="Arial" w:hAnsi="Arial"/>
        <w:i/>
        <w:color w:val="2a4a71" w:themeColor="accent1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F81BD" w:themeColor="accent1" w:sz="4" w:space="0"/>
        </w:tcBorders>
      </w:tcPr>
    </w:tblStylePr>
    <w:tblStylePr w:type="firstRow">
      <w:rPr>
        <w:rFonts w:ascii="Arial" w:hAnsi="Arial"/>
        <w:i/>
        <w:color w:val="2a4a71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4F81BD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cPr>
        <w:shd w:val="clear" w:color="ffffff" w:fill="auto"/>
        <w:tcBorders>
          <w:top w:val="none" w:color="000000" w:sz="4" w:space="0"/>
          <w:left w:val="single" w:color="4F81BD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cPr>
        <w:shd w:val="clear" w:color="ffffff" w:themeColor="light1" w:fill="ffffff" w:themeFill="light1"/>
        <w:tcBorders>
          <w:top w:val="single" w:color="4F81BD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0" w:customStyle="1">
    <w:name w:val="List Table 7 Colorful - Accent 2"/>
    <w:uiPriority w:val="99"/>
    <w:tblPr>
      <w:tblStyleRowBandSize w:val="1"/>
      <w:tblStyleColBandSize w:val="1"/>
      <w:tblInd w:w="0" w:type="dxa"/>
      <w:tblBorders>
        <w:right w:val="single" w:color="D99695" w:themeColor="accent2" w:themeTint="9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d99695" w:themeColor="accent2" w:themeTint="97" w:themeShade="95"/>
        <w:sz w:val="22"/>
      </w:rPr>
      <w:tcPr>
        <w:shd w:val="clear" w:color="efd2d2" w:themeColor="accent2" w:themeTint="40" w:fill="efd2d2" w:themeFill="accent2" w:themeFillTint="40"/>
      </w:tcPr>
    </w:tblStylePr>
    <w:tblStylePr w:type="band1Vert"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  <w:tblStylePr w:type="firstCol">
      <w:rPr>
        <w:rFonts w:ascii="Arial" w:hAnsi="Arial"/>
        <w:i/>
        <w:color w:val="d99695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D99695" w:themeColor="accent2" w:themeTint="97" w:sz="4" w:space="0"/>
        </w:tcBorders>
      </w:tcPr>
    </w:tblStylePr>
    <w:tblStylePr w:type="firstRow">
      <w:rPr>
        <w:rFonts w:ascii="Arial" w:hAnsi="Arial"/>
        <w:i/>
        <w:color w:val="d99695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D99695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D99695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D99695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1" w:customStyle="1">
    <w:name w:val="List Table 7 Colorful - Accent 3"/>
    <w:uiPriority w:val="99"/>
    <w:tblPr>
      <w:tblStyleRowBandSize w:val="1"/>
      <w:tblStyleColBandSize w:val="1"/>
      <w:tblInd w:w="0" w:type="dxa"/>
      <w:tblBorders>
        <w:right w:val="single" w:color="C3D69B" w:themeColor="accent3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c3d69b" w:themeColor="accent3" w:themeTint="98" w:themeShade="95"/>
        <w:sz w:val="22"/>
      </w:rPr>
      <w:tcPr>
        <w:shd w:val="clear" w:color="e5eed5" w:themeColor="accent3" w:themeTint="40" w:fill="e5eed5" w:themeFill="accent3" w:themeFillTint="40"/>
      </w:tcPr>
    </w:tblStylePr>
    <w:tblStylePr w:type="band1Vert"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  <w:tblStylePr w:type="firstCol">
      <w:rPr>
        <w:rFonts w:ascii="Arial" w:hAnsi="Arial"/>
        <w:i/>
        <w:color w:val="c3d69b" w:themeColor="accent3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C3D69B" w:themeColor="accent3" w:themeTint="98" w:sz="4" w:space="0"/>
        </w:tcBorders>
      </w:tcPr>
    </w:tblStylePr>
    <w:tblStylePr w:type="firstRow">
      <w:rPr>
        <w:rFonts w:ascii="Arial" w:hAnsi="Arial"/>
        <w:i/>
        <w:color w:val="c3d69b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C3D69B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C3D69B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C3D69B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2" w:customStyle="1">
    <w:name w:val="List Table 7 Colorful - Accent 4"/>
    <w:uiPriority w:val="99"/>
    <w:tblPr>
      <w:tblStyleRowBandSize w:val="1"/>
      <w:tblStyleColBandSize w:val="1"/>
      <w:tblInd w:w="0" w:type="dxa"/>
      <w:tblBorders>
        <w:right w:val="single" w:color="B2A1C6" w:themeColor="accent4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b2a1c6" w:themeColor="accent4" w:themeTint="9A" w:themeShade="95"/>
        <w:sz w:val="22"/>
      </w:rPr>
      <w:tcPr>
        <w:shd w:val="clear" w:color="dfd8e7" w:themeColor="accent4" w:themeTint="40" w:fill="dfd8e7" w:themeFill="accent4" w:themeFillTint="40"/>
      </w:tcPr>
    </w:tblStylePr>
    <w:tblStylePr w:type="band1Vert"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  <w:tblStylePr w:type="firstCol">
      <w:rPr>
        <w:rFonts w:ascii="Arial" w:hAnsi="Arial"/>
        <w:i/>
        <w:color w:val="b2a1c6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B2A1C6" w:themeColor="accent4" w:themeTint="9A" w:sz="4" w:space="0"/>
        </w:tcBorders>
      </w:tcPr>
    </w:tblStylePr>
    <w:tblStylePr w:type="firstRow">
      <w:rPr>
        <w:rFonts w:ascii="Arial" w:hAnsi="Arial"/>
        <w:i/>
        <w:color w:val="b2a1c6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B2A1C6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B2A1C6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B2A1C6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3" w:customStyle="1">
    <w:name w:val="List Table 7 Colorful - Accent 5"/>
    <w:uiPriority w:val="99"/>
    <w:tblPr>
      <w:tblStyleRowBandSize w:val="1"/>
      <w:tblStyleColBandSize w:val="1"/>
      <w:tblInd w:w="0" w:type="dxa"/>
      <w:tblBorders>
        <w:right w:val="single" w:color="92CCDC" w:themeColor="accent5" w:themeTint="9A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92ccdc" w:themeColor="accent5" w:themeTint="9A" w:themeShade="95"/>
        <w:sz w:val="22"/>
      </w:rPr>
      <w:tcPr>
        <w:shd w:val="clear" w:color="d1eaf0" w:themeColor="accent5" w:themeTint="40" w:fill="d1eaf0" w:themeFill="accent5" w:themeFillTint="40"/>
      </w:tcPr>
    </w:tblStylePr>
    <w:tblStylePr w:type="band1Vert"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  <w:tblStylePr w:type="firstCol">
      <w:rPr>
        <w:rFonts w:ascii="Arial" w:hAnsi="Arial"/>
        <w:i/>
        <w:color w:val="92ccdc" w:themeColor="accent5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2CCDC" w:themeColor="accent5" w:themeTint="9A" w:sz="4" w:space="0"/>
        </w:tcBorders>
      </w:tcPr>
    </w:tblStylePr>
    <w:tblStylePr w:type="firstRow">
      <w:rPr>
        <w:rFonts w:ascii="Arial" w:hAnsi="Arial"/>
        <w:i/>
        <w:color w:val="92ccdc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2CCDC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92CCDC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92CCDC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4" w:customStyle="1">
    <w:name w:val="List Table 7 Colorful - Accent 6"/>
    <w:uiPriority w:val="99"/>
    <w:tblPr>
      <w:tblStyleRowBandSize w:val="1"/>
      <w:tblStyleColBandSize w:val="1"/>
      <w:tblInd w:w="0" w:type="dxa"/>
      <w:tblBorders>
        <w:right w:val="single" w:color="FAC090" w:themeColor="accent6" w:themeTint="98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fac090" w:themeColor="accent6" w:themeTint="98" w:themeShade="95"/>
        <w:sz w:val="22"/>
      </w:rPr>
      <w:tcPr>
        <w:shd w:val="clear" w:color="fde4d0" w:themeColor="accent6" w:themeTint="40" w:fill="fde4d0" w:themeFill="accent6" w:themeFillTint="40"/>
      </w:tcPr>
    </w:tblStylePr>
    <w:tblStylePr w:type="band1Vert"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  <w:tblStylePr w:type="firstCol">
      <w:rPr>
        <w:rFonts w:ascii="Arial" w:hAnsi="Arial"/>
        <w:i/>
        <w:color w:val="fac090" w:themeColor="accent6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AC090" w:themeColor="accent6" w:themeTint="98" w:sz="4" w:space="0"/>
        </w:tcBorders>
      </w:tcPr>
    </w:tblStylePr>
    <w:tblStylePr w:type="firstRow">
      <w:rPr>
        <w:rFonts w:ascii="Arial" w:hAnsi="Arial"/>
        <w:i/>
        <w:color w:val="fac090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AC09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FAC09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FAC09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45" w:customStyle="1">
    <w:name w:val="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46" w:customStyle="1">
    <w:name w:val="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</w:style>
  <w:style w:type="table" w:styleId="847" w:customStyle="1">
    <w:name w:val="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</w:style>
  <w:style w:type="table" w:styleId="848" w:customStyle="1">
    <w:name w:val="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</w:style>
  <w:style w:type="table" w:styleId="849" w:customStyle="1">
    <w:name w:val="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</w:style>
  <w:style w:type="table" w:styleId="850" w:customStyle="1">
    <w:name w:val="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</w:style>
  <w:style w:type="table" w:styleId="851" w:customStyle="1">
    <w:name w:val="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</w:style>
  <w:style w:type="table" w:styleId="852" w:customStyle="1">
    <w:name w:val="Bordered &amp; Lined - Accent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0" w:fill="f2f2f2" w:themeFill="text1" w:themeFillTint="00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53" w:customStyle="1">
    <w:name w:val="Bordered &amp; Lined - Accent 1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2A4A71" w:themeColor="accent1" w:themeShade="95" w:sz="4" w:space="0"/>
        <w:left w:val="single" w:color="2A4A71" w:themeColor="accent1" w:themeShade="95" w:sz="4" w:space="0"/>
        <w:bottom w:val="single" w:color="2A4A71" w:themeColor="accent1" w:themeShade="95" w:sz="4" w:space="0"/>
        <w:right w:val="single" w:color="2A4A71" w:themeColor="accent1" w:themeShade="95" w:sz="4" w:space="0"/>
        <w:insideH w:val="single" w:color="2A4A71" w:themeColor="accent1" w:themeShade="95" w:sz="4" w:space="0"/>
        <w:insideV w:val="single" w:color="2A4A71" w:themeColor="accent1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7d7ea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d8ac2" w:themeColor="accent1" w:themeTint="EA" w:fill="5d8ac2" w:themeFill="accent1" w:themeFillTint="EA"/>
      </w:tcPr>
    </w:tblStylePr>
  </w:style>
  <w:style w:type="table" w:styleId="854" w:customStyle="1">
    <w:name w:val="Bordered &amp; Lined - Accent 2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732A29" w:themeColor="accent2" w:themeShade="95" w:sz="4" w:space="0"/>
        <w:left w:val="single" w:color="732A29" w:themeColor="accent2" w:themeShade="95" w:sz="4" w:space="0"/>
        <w:bottom w:val="single" w:color="732A29" w:themeColor="accent2" w:themeShade="95" w:sz="4" w:space="0"/>
        <w:right w:val="single" w:color="732A29" w:themeColor="accent2" w:themeShade="95" w:sz="4" w:space="0"/>
        <w:insideH w:val="single" w:color="732A29" w:themeColor="accent2" w:themeShade="95" w:sz="4" w:space="0"/>
        <w:insideV w:val="single" w:color="732A29" w:themeColor="accent2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2dcdc" w:themeColor="accent2" w:themeTint="32" w:fill="f2dcdc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d99695" w:themeColor="accent2" w:themeTint="97" w:fill="d99695" w:themeFill="accent2" w:themeFillTint="97"/>
      </w:tcPr>
    </w:tblStylePr>
  </w:style>
  <w:style w:type="table" w:styleId="855" w:customStyle="1">
    <w:name w:val="Bordered &amp; Lined - Accent 3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5B722E" w:themeColor="accent3" w:themeShade="95" w:sz="4" w:space="0"/>
        <w:left w:val="single" w:color="5B722E" w:themeColor="accent3" w:themeShade="95" w:sz="4" w:space="0"/>
        <w:bottom w:val="single" w:color="5B722E" w:themeColor="accent3" w:themeShade="95" w:sz="4" w:space="0"/>
        <w:right w:val="single" w:color="5B722E" w:themeColor="accent3" w:themeShade="95" w:sz="4" w:space="0"/>
        <w:insideH w:val="single" w:color="5B722E" w:themeColor="accent3" w:themeShade="95" w:sz="4" w:space="0"/>
        <w:insideV w:val="single" w:color="5B722E" w:themeColor="accent3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af1dc" w:themeColor="accent3" w:themeTint="34" w:fill="eaf1d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9abb59" w:themeColor="accent3" w:themeTint="FE" w:fill="9abb59" w:themeFill="accent3" w:themeFillTint="FE"/>
      </w:tcPr>
    </w:tblStylePr>
  </w:style>
  <w:style w:type="table" w:styleId="856" w:customStyle="1">
    <w:name w:val="Bordered &amp; Lined - Accent 4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4A395F" w:themeColor="accent4" w:themeShade="95" w:sz="4" w:space="0"/>
        <w:left w:val="single" w:color="4A395F" w:themeColor="accent4" w:themeShade="95" w:sz="4" w:space="0"/>
        <w:bottom w:val="single" w:color="4A395F" w:themeColor="accent4" w:themeShade="95" w:sz="4" w:space="0"/>
        <w:right w:val="single" w:color="4A395F" w:themeColor="accent4" w:themeShade="95" w:sz="4" w:space="0"/>
        <w:insideH w:val="single" w:color="4A395F" w:themeColor="accent4" w:themeShade="95" w:sz="4" w:space="0"/>
        <w:insideV w:val="single" w:color="4A395F" w:themeColor="accent4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5dfec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b2a1c6" w:themeColor="accent4" w:themeTint="9A" w:fill="b2a1c6" w:themeFill="accent4" w:themeFillTint="9A"/>
      </w:tcPr>
    </w:tblStylePr>
  </w:style>
  <w:style w:type="table" w:styleId="857" w:customStyle="1">
    <w:name w:val="Bordered &amp; Lined - Accent 5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266779" w:themeColor="accent5" w:themeShade="95" w:sz="4" w:space="0"/>
        <w:left w:val="single" w:color="266779" w:themeColor="accent5" w:themeShade="95" w:sz="4" w:space="0"/>
        <w:bottom w:val="single" w:color="266779" w:themeColor="accent5" w:themeShade="95" w:sz="4" w:space="0"/>
        <w:right w:val="single" w:color="266779" w:themeColor="accent5" w:themeShade="95" w:sz="4" w:space="0"/>
        <w:insideH w:val="single" w:color="266779" w:themeColor="accent5" w:themeShade="95" w:sz="4" w:space="0"/>
        <w:insideV w:val="single" w:color="266779" w:themeColor="accent5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aeef3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bacc6" w:themeColor="accent5" w:fill="4bacc6" w:themeFill="accent5"/>
      </w:tcPr>
    </w:tblStylePr>
  </w:style>
  <w:style w:type="table" w:styleId="858" w:customStyle="1">
    <w:name w:val="Bordered &amp; Lined - Accent 6"/>
    <w:uiPriority w:val="99"/>
    <w:rPr>
      <w:color w:val="404040"/>
      <w:lang w:eastAsia="ru-RU"/>
    </w:rPr>
    <w:tblPr>
      <w:tblStyleRowBandSize w:val="1"/>
      <w:tblStyleColBandSize w:val="1"/>
      <w:tblInd w:w="0" w:type="dxa"/>
      <w:tblBorders>
        <w:top w:val="single" w:color="B15407" w:themeColor="accent6" w:themeShade="95" w:sz="4" w:space="0"/>
        <w:left w:val="single" w:color="B15407" w:themeColor="accent6" w:themeShade="95" w:sz="4" w:space="0"/>
        <w:bottom w:val="single" w:color="B15407" w:themeColor="accent6" w:themeShade="95" w:sz="4" w:space="0"/>
        <w:right w:val="single" w:color="B15407" w:themeColor="accent6" w:themeShade="95" w:sz="4" w:space="0"/>
        <w:insideH w:val="single" w:color="B15407" w:themeColor="accent6" w:themeShade="95" w:sz="4" w:space="0"/>
        <w:insideV w:val="single" w:color="B15407" w:themeColor="accent6" w:themeShade="95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de9d8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79646" w:themeColor="accent6" w:fill="f79646" w:themeFill="accent6"/>
      </w:tcPr>
    </w:tblStylePr>
  </w:style>
  <w:style w:type="table" w:styleId="859" w:customStyle="1">
    <w:name w:val="Bordered"/>
    <w:uiPriority w:val="99"/>
    <w:tblPr>
      <w:tblStyleRowBandSize w:val="1"/>
      <w:tblStyleColBandSize w:val="1"/>
      <w:tblInd w:w="0" w:type="dxa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D9D9D9" w:themeColor="text1" w:themeTint="26" w:sz="4" w:space="0"/>
          <w:left w:val="single" w:color="D9D9D9" w:themeColor="text1" w:themeTint="26" w:sz="4" w:space="0"/>
          <w:bottom w:val="single" w:color="D9D9D9" w:themeColor="text1" w:themeTint="26" w:sz="4" w:space="0"/>
          <w:right w:val="single" w:color="D9D9D9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themeColor="text1" w:themeTint="80" w:sz="12" w:space="0"/>
        </w:tcBorders>
      </w:tcPr>
    </w:tblStylePr>
  </w:style>
  <w:style w:type="table" w:styleId="860" w:customStyle="1">
    <w:name w:val="Bordered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B7CBE4" w:themeColor="accent1" w:themeTint="67" w:sz="4" w:space="0"/>
          <w:left w:val="single" w:color="B7CBE4" w:themeColor="accent1" w:themeTint="67" w:sz="4" w:space="0"/>
          <w:bottom w:val="single" w:color="B7CBE4" w:themeColor="accent1" w:themeTint="67" w:sz="4" w:space="0"/>
          <w:right w:val="single" w:color="B7CBE4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4F81BD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F81BD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F81BD" w:themeColor="accent1" w:sz="12" w:space="0"/>
        </w:tcBorders>
      </w:tcPr>
    </w:tblStylePr>
  </w:style>
  <w:style w:type="table" w:styleId="861" w:customStyle="1">
    <w:name w:val="Bordered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E5B7B6" w:themeColor="accent2" w:themeTint="67" w:sz="4" w:space="0"/>
          <w:left w:val="single" w:color="E5B7B6" w:themeColor="accent2" w:themeTint="67" w:sz="4" w:space="0"/>
          <w:bottom w:val="single" w:color="E5B7B6" w:themeColor="accent2" w:themeTint="67" w:sz="4" w:space="0"/>
          <w:right w:val="single" w:color="E5B7B6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D99695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D9969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D99695" w:themeColor="accent2" w:themeTint="97" w:sz="12" w:space="0"/>
        </w:tcBorders>
      </w:tcPr>
    </w:tblStylePr>
  </w:style>
  <w:style w:type="table" w:styleId="862" w:customStyle="1">
    <w:name w:val="Bordered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D6E3BB" w:themeColor="accent3" w:themeTint="67" w:sz="4" w:space="0"/>
          <w:left w:val="single" w:color="D6E3BB" w:themeColor="accent3" w:themeTint="67" w:sz="4" w:space="0"/>
          <w:bottom w:val="single" w:color="D6E3BB" w:themeColor="accent3" w:themeTint="67" w:sz="4" w:space="0"/>
          <w:right w:val="single" w:color="D6E3BB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3D69B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3D69B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3D69B" w:themeColor="accent3" w:themeTint="98" w:sz="12" w:space="0"/>
        </w:tcBorders>
      </w:tcPr>
    </w:tblStylePr>
  </w:style>
  <w:style w:type="table" w:styleId="863" w:customStyle="1">
    <w:name w:val="Bordered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CBC0D9" w:themeColor="accent4" w:themeTint="67" w:sz="4" w:space="0"/>
          <w:left w:val="single" w:color="CBC0D9" w:themeColor="accent4" w:themeTint="67" w:sz="4" w:space="0"/>
          <w:bottom w:val="single" w:color="CBC0D9" w:themeColor="accent4" w:themeTint="67" w:sz="4" w:space="0"/>
          <w:right w:val="single" w:color="CBC0D9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B2A1C6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B2A1C6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B2A1C6" w:themeColor="accent4" w:themeTint="9A" w:sz="12" w:space="0"/>
        </w:tcBorders>
      </w:tcPr>
    </w:tblStylePr>
  </w:style>
  <w:style w:type="table" w:styleId="864" w:customStyle="1">
    <w:name w:val="Bordered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B6DDE8" w:themeColor="accent5" w:themeTint="67" w:sz="4" w:space="0"/>
          <w:left w:val="single" w:color="B6DDE8" w:themeColor="accent5" w:themeTint="67" w:sz="4" w:space="0"/>
          <w:bottom w:val="single" w:color="B6DDE8" w:themeColor="accent5" w:themeTint="67" w:sz="4" w:space="0"/>
          <w:right w:val="single" w:color="B6DDE8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92CCDC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2CCDC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2CCDC" w:themeColor="accent5" w:themeTint="9A" w:sz="12" w:space="0"/>
        </w:tcBorders>
      </w:tcPr>
    </w:tblStylePr>
  </w:style>
  <w:style w:type="table" w:styleId="865" w:customStyle="1">
    <w:name w:val="Bordered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left w:w="0" w:type="dxa"/>
        <w:top w:w="0" w:type="dxa"/>
        <w:right w:w="0" w:type="dxa"/>
        <w:bottom w:w="0" w:type="dxa"/>
      </w:tblCellMar>
    </w:tblPr>
    <w:tblStylePr w:type="band1Horz">
      <w:rPr>
        <w:rFonts w:ascii="Arial" w:hAnsi="Arial"/>
        <w:color w:val="404040"/>
        <w:sz w:val="22"/>
      </w:rPr>
      <w:tcPr>
        <w:tcBorders>
          <w:top w:val="single" w:color="FBD4B4" w:themeColor="accent6" w:themeTint="67" w:sz="4" w:space="0"/>
          <w:left w:val="single" w:color="FBD4B4" w:themeColor="accent6" w:themeTint="67" w:sz="4" w:space="0"/>
          <w:bottom w:val="single" w:color="FBD4B4" w:themeColor="accent6" w:themeTint="67" w:sz="4" w:space="0"/>
          <w:right w:val="single" w:color="FBD4B4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AC09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AC09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AC090" w:themeColor="accent6" w:themeTint="98" w:sz="12" w:space="0"/>
        </w:tcBorders>
      </w:tcPr>
    </w:tblStylePr>
  </w:style>
  <w:style w:type="character" w:styleId="866">
    <w:name w:val="Hyperlink"/>
    <w:rPr>
      <w:rFonts w:cs="Times New Roman"/>
      <w:color w:val="0000ff"/>
      <w:u w:val="single"/>
    </w:rPr>
  </w:style>
  <w:style w:type="paragraph" w:styleId="867">
    <w:name w:val="footnote text"/>
    <w:basedOn w:val="700"/>
    <w:link w:val="929"/>
    <w:uiPriority w:val="99"/>
    <w:semiHidden/>
    <w:rPr>
      <w:sz w:val="20"/>
      <w:szCs w:val="20"/>
    </w:rPr>
  </w:style>
  <w:style w:type="character" w:styleId="868" w:customStyle="1">
    <w:name w:val="Footnote Text Char"/>
    <w:uiPriority w:val="99"/>
    <w:rPr>
      <w:sz w:val="18"/>
    </w:rPr>
  </w:style>
  <w:style w:type="character" w:styleId="869">
    <w:name w:val="footnote reference"/>
    <w:uiPriority w:val="99"/>
    <w:semiHidden/>
    <w:unhideWhenUsed/>
    <w:rPr>
      <w:vertAlign w:val="superscript"/>
    </w:rPr>
  </w:style>
  <w:style w:type="paragraph" w:styleId="870">
    <w:name w:val="endnote text"/>
    <w:basedOn w:val="700"/>
    <w:link w:val="931"/>
    <w:uiPriority w:val="99"/>
    <w:semiHidden/>
    <w:unhideWhenUsed/>
    <w:rPr>
      <w:sz w:val="20"/>
      <w:szCs w:val="20"/>
    </w:rPr>
  </w:style>
  <w:style w:type="character" w:styleId="871" w:customStyle="1">
    <w:name w:val="Endnote Text Char"/>
    <w:uiPriority w:val="99"/>
    <w:rPr>
      <w:sz w:val="20"/>
    </w:rPr>
  </w:style>
  <w:style w:type="character" w:styleId="872">
    <w:name w:val="endnote reference"/>
    <w:uiPriority w:val="99"/>
    <w:semiHidden/>
    <w:unhideWhenUsed/>
    <w:rPr>
      <w:vertAlign w:val="superscript"/>
    </w:rPr>
  </w:style>
  <w:style w:type="paragraph" w:styleId="873">
    <w:name w:val="toc 1"/>
    <w:basedOn w:val="700"/>
    <w:next w:val="700"/>
    <w:uiPriority w:val="39"/>
    <w:unhideWhenUsed/>
    <w:pPr>
      <w:spacing w:after="57"/>
    </w:pPr>
  </w:style>
  <w:style w:type="paragraph" w:styleId="874">
    <w:name w:val="toc 2"/>
    <w:basedOn w:val="700"/>
    <w:next w:val="700"/>
    <w:uiPriority w:val="39"/>
    <w:unhideWhenUsed/>
    <w:pPr>
      <w:ind w:left="283"/>
      <w:spacing w:after="57"/>
    </w:pPr>
  </w:style>
  <w:style w:type="paragraph" w:styleId="875">
    <w:name w:val="toc 3"/>
    <w:basedOn w:val="700"/>
    <w:next w:val="700"/>
    <w:uiPriority w:val="39"/>
    <w:unhideWhenUsed/>
    <w:pPr>
      <w:ind w:left="567"/>
      <w:spacing w:after="57"/>
    </w:pPr>
  </w:style>
  <w:style w:type="paragraph" w:styleId="876">
    <w:name w:val="toc 4"/>
    <w:basedOn w:val="700"/>
    <w:next w:val="700"/>
    <w:uiPriority w:val="39"/>
    <w:unhideWhenUsed/>
    <w:pPr>
      <w:ind w:left="850"/>
      <w:spacing w:after="57"/>
    </w:pPr>
  </w:style>
  <w:style w:type="paragraph" w:styleId="877">
    <w:name w:val="toc 5"/>
    <w:basedOn w:val="700"/>
    <w:next w:val="700"/>
    <w:uiPriority w:val="39"/>
    <w:unhideWhenUsed/>
    <w:pPr>
      <w:ind w:left="1134"/>
      <w:spacing w:after="57"/>
    </w:pPr>
  </w:style>
  <w:style w:type="paragraph" w:styleId="878">
    <w:name w:val="toc 6"/>
    <w:basedOn w:val="700"/>
    <w:next w:val="700"/>
    <w:uiPriority w:val="39"/>
    <w:unhideWhenUsed/>
    <w:pPr>
      <w:ind w:left="1417"/>
      <w:spacing w:after="57"/>
    </w:pPr>
  </w:style>
  <w:style w:type="paragraph" w:styleId="879">
    <w:name w:val="toc 7"/>
    <w:basedOn w:val="700"/>
    <w:next w:val="700"/>
    <w:uiPriority w:val="39"/>
    <w:unhideWhenUsed/>
    <w:pPr>
      <w:ind w:left="1701"/>
      <w:spacing w:after="57"/>
    </w:pPr>
  </w:style>
  <w:style w:type="paragraph" w:styleId="880">
    <w:name w:val="toc 8"/>
    <w:basedOn w:val="700"/>
    <w:next w:val="700"/>
    <w:uiPriority w:val="39"/>
    <w:unhideWhenUsed/>
    <w:pPr>
      <w:ind w:left="1984"/>
      <w:spacing w:after="57"/>
    </w:pPr>
  </w:style>
  <w:style w:type="paragraph" w:styleId="881">
    <w:name w:val="toc 9"/>
    <w:basedOn w:val="700"/>
    <w:next w:val="700"/>
    <w:uiPriority w:val="39"/>
    <w:unhideWhenUsed/>
    <w:pPr>
      <w:ind w:left="2268"/>
      <w:spacing w:after="57"/>
    </w:pPr>
  </w:style>
  <w:style w:type="paragraph" w:styleId="882">
    <w:name w:val="TOC Heading"/>
    <w:uiPriority w:val="39"/>
    <w:unhideWhenUsed/>
  </w:style>
  <w:style w:type="paragraph" w:styleId="883">
    <w:name w:val="table of figures"/>
    <w:basedOn w:val="700"/>
    <w:next w:val="700"/>
    <w:uiPriority w:val="99"/>
    <w:unhideWhenUsed/>
  </w:style>
  <w:style w:type="paragraph" w:styleId="884" w:customStyle="1">
    <w:name w:val="ConsPlusNormal"/>
    <w:link w:val="923"/>
    <w:qFormat/>
    <w:pPr>
      <w:ind w:firstLine="720"/>
      <w:widowControl w:val="off"/>
    </w:pPr>
    <w:rPr>
      <w:rFonts w:ascii="Arial" w:hAnsi="Arial" w:cs="Arial"/>
      <w:lang w:eastAsia="ru-RU"/>
    </w:rPr>
  </w:style>
  <w:style w:type="paragraph" w:styleId="885" w:customStyle="1">
    <w:name w:val="ConsPlusNonformat"/>
    <w:uiPriority w:val="99"/>
    <w:pPr>
      <w:widowControl w:val="off"/>
    </w:pPr>
    <w:rPr>
      <w:rFonts w:ascii="Courier New" w:hAnsi="Courier New" w:cs="Courier New"/>
      <w:lang w:eastAsia="ru-RU"/>
    </w:rPr>
  </w:style>
  <w:style w:type="paragraph" w:styleId="886" w:customStyle="1">
    <w:name w:val="ConsPlusTitle"/>
    <w:pPr>
      <w:widowControl w:val="off"/>
    </w:pPr>
    <w:rPr>
      <w:rFonts w:ascii="Arial" w:hAnsi="Arial" w:cs="Arial"/>
      <w:b/>
      <w:bCs/>
      <w:lang w:eastAsia="ru-RU"/>
    </w:rPr>
  </w:style>
  <w:style w:type="character" w:styleId="887" w:customStyle="1">
    <w:name w:val="Заголовок 3 Знак"/>
    <w:rPr>
      <w:rFonts w:ascii="Arial" w:hAnsi="Arial" w:cs="Arial"/>
      <w:b/>
      <w:bCs/>
      <w:sz w:val="26"/>
      <w:szCs w:val="26"/>
      <w:lang w:val="ru-RU" w:eastAsia="ru-RU"/>
    </w:rPr>
  </w:style>
  <w:style w:type="paragraph" w:styleId="888" w:customStyle="1">
    <w:name w:val="ConsNormal"/>
    <w:pPr>
      <w:ind w:firstLine="720"/>
      <w:widowControl w:val="off"/>
    </w:pPr>
    <w:rPr>
      <w:rFonts w:ascii="Arial" w:hAnsi="Arial" w:cs="Arial"/>
      <w:lang w:eastAsia="ru-RU"/>
    </w:rPr>
  </w:style>
  <w:style w:type="paragraph" w:styleId="889">
    <w:name w:val="Body Text Indent 2"/>
    <w:basedOn w:val="700"/>
    <w:link w:val="890"/>
    <w:pPr>
      <w:ind w:firstLine="540"/>
      <w:jc w:val="both"/>
    </w:pPr>
  </w:style>
  <w:style w:type="character" w:styleId="890" w:customStyle="1">
    <w:name w:val="Основной текст с отступом 2 Знак"/>
    <w:link w:val="889"/>
    <w:rPr>
      <w:sz w:val="24"/>
      <w:szCs w:val="24"/>
      <w:lang w:val="ru-RU" w:eastAsia="ru-RU" w:bidi="ar-SA"/>
    </w:rPr>
  </w:style>
  <w:style w:type="paragraph" w:styleId="891" w:customStyle="1">
    <w:name w:val="Основной текст с отступом1"/>
    <w:basedOn w:val="700"/>
    <w:link w:val="892"/>
    <w:pPr>
      <w:spacing w:after="120" w:line="480" w:lineRule="auto"/>
    </w:pPr>
  </w:style>
  <w:style w:type="character" w:styleId="892" w:customStyle="1">
    <w:name w:val="Body Text Indent Char"/>
    <w:link w:val="891"/>
    <w:semiHidden/>
    <w:rPr>
      <w:sz w:val="24"/>
      <w:szCs w:val="24"/>
      <w:lang w:val="ru-RU" w:eastAsia="ru-RU" w:bidi="ar-SA"/>
    </w:rPr>
  </w:style>
  <w:style w:type="paragraph" w:styleId="893">
    <w:name w:val="Footer"/>
    <w:basedOn w:val="700"/>
    <w:link w:val="894"/>
    <w:pPr>
      <w:tabs>
        <w:tab w:val="center" w:pos="4677" w:leader="none"/>
        <w:tab w:val="right" w:pos="9355" w:leader="none"/>
      </w:tabs>
    </w:pPr>
  </w:style>
  <w:style w:type="character" w:styleId="894" w:customStyle="1">
    <w:name w:val="Нижний колонтитул Знак"/>
    <w:link w:val="893"/>
    <w:semiHidden/>
    <w:rPr>
      <w:sz w:val="24"/>
      <w:szCs w:val="24"/>
      <w:lang w:val="ru-RU" w:eastAsia="ru-RU" w:bidi="ar-SA"/>
    </w:rPr>
  </w:style>
  <w:style w:type="character" w:styleId="895">
    <w:name w:val="page number"/>
    <w:rPr>
      <w:rFonts w:cs="Times New Roman"/>
    </w:rPr>
  </w:style>
  <w:style w:type="character" w:styleId="896" w:customStyle="1">
    <w:name w:val="Заголовок 4 Знак"/>
    <w:uiPriority w:val="9"/>
    <w:semiHidden/>
    <w:rPr>
      <w:rFonts w:ascii="Calibri" w:hAnsi="Calibri" w:eastAsia="Times New Roman" w:cs="Times New Roman"/>
      <w:b/>
      <w:bCs/>
      <w:sz w:val="28"/>
      <w:szCs w:val="28"/>
    </w:rPr>
  </w:style>
  <w:style w:type="character" w:styleId="897" w:customStyle="1">
    <w:name w:val="Заголовок 4 Знак1"/>
    <w:link w:val="702"/>
    <w:uiPriority w:val="99"/>
    <w:rPr>
      <w:sz w:val="28"/>
      <w:szCs w:val="28"/>
    </w:rPr>
  </w:style>
  <w:style w:type="paragraph" w:styleId="898">
    <w:name w:val="Body Text 2"/>
    <w:basedOn w:val="700"/>
    <w:link w:val="899"/>
    <w:uiPriority w:val="99"/>
    <w:unhideWhenUsed/>
    <w:pPr>
      <w:spacing w:after="120" w:line="480" w:lineRule="auto"/>
    </w:pPr>
    <w:rPr>
      <w:lang w:val="en-US" w:eastAsia="en-US"/>
    </w:rPr>
  </w:style>
  <w:style w:type="character" w:styleId="899" w:customStyle="1">
    <w:name w:val="Основной текст 2 Знак"/>
    <w:link w:val="898"/>
    <w:uiPriority w:val="99"/>
    <w:rPr>
      <w:sz w:val="24"/>
      <w:szCs w:val="24"/>
    </w:rPr>
  </w:style>
  <w:style w:type="paragraph" w:styleId="900">
    <w:name w:val="Body Text"/>
    <w:basedOn w:val="700"/>
    <w:link w:val="901"/>
    <w:uiPriority w:val="99"/>
    <w:semiHidden/>
    <w:unhideWhenUsed/>
    <w:pPr>
      <w:spacing w:after="120"/>
    </w:pPr>
    <w:rPr>
      <w:lang w:val="en-US" w:eastAsia="en-US"/>
    </w:rPr>
  </w:style>
  <w:style w:type="character" w:styleId="901" w:customStyle="1">
    <w:name w:val="Основной текст Знак"/>
    <w:link w:val="900"/>
    <w:uiPriority w:val="99"/>
    <w:semiHidden/>
    <w:rPr>
      <w:sz w:val="24"/>
      <w:szCs w:val="24"/>
    </w:rPr>
  </w:style>
  <w:style w:type="character" w:styleId="902" w:customStyle="1">
    <w:name w:val="Знак"/>
    <w:rPr>
      <w:rFonts w:cs="Times New Roman"/>
      <w:sz w:val="16"/>
      <w:szCs w:val="16"/>
      <w:lang w:val="ru-RU" w:eastAsia="ru-RU"/>
    </w:rPr>
  </w:style>
  <w:style w:type="character" w:styleId="903" w:customStyle="1">
    <w:name w:val="Body text_"/>
    <w:link w:val="904"/>
    <w:uiPriority w:val="99"/>
    <w:rPr>
      <w:sz w:val="27"/>
      <w:szCs w:val="27"/>
      <w:shd w:val="clear" w:color="auto" w:fill="ffffff"/>
    </w:rPr>
  </w:style>
  <w:style w:type="paragraph" w:styleId="904" w:customStyle="1">
    <w:name w:val="Основной текст1"/>
    <w:basedOn w:val="700"/>
    <w:link w:val="903"/>
    <w:uiPriority w:val="99"/>
    <w:pPr>
      <w:ind w:hanging="840"/>
      <w:jc w:val="right"/>
      <w:spacing w:after="600" w:line="322" w:lineRule="exact"/>
      <w:shd w:val="clear" w:color="auto" w:fill="ffffff"/>
    </w:pPr>
    <w:rPr>
      <w:sz w:val="27"/>
      <w:szCs w:val="27"/>
      <w:lang w:val="en-US" w:eastAsia="en-US"/>
    </w:rPr>
  </w:style>
  <w:style w:type="character" w:styleId="905" w:customStyle="1">
    <w:name w:val="Заголовок 2 Знак"/>
    <w:link w:val="701"/>
    <w:uiPriority w:val="9"/>
    <w:semiHidden/>
    <w:rPr>
      <w:rFonts w:ascii="Cambria" w:hAnsi="Cambria" w:eastAsia="Times New Roman" w:cs="Times New Roman"/>
      <w:b/>
      <w:bCs/>
      <w:color w:val="4f81bd"/>
      <w:sz w:val="26"/>
      <w:szCs w:val="26"/>
    </w:rPr>
  </w:style>
  <w:style w:type="paragraph" w:styleId="906" w:customStyle="1">
    <w:name w:val="ConsPlusCell"/>
    <w:uiPriority w:val="99"/>
    <w:rPr>
      <w:sz w:val="28"/>
      <w:szCs w:val="28"/>
      <w:lang w:eastAsia="ru-RU"/>
    </w:rPr>
  </w:style>
  <w:style w:type="paragraph" w:styleId="907" w:customStyle="1">
    <w:name w:val="Знак Знак Знак Знак"/>
    <w:basedOn w:val="700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908" w:customStyle="1">
    <w:name w:val="p13"/>
    <w:basedOn w:val="700"/>
    <w:pPr>
      <w:spacing w:before="100" w:beforeAutospacing="1" w:after="100" w:afterAutospacing="1"/>
    </w:pPr>
  </w:style>
  <w:style w:type="character" w:styleId="909" w:customStyle="1">
    <w:name w:val="s3"/>
    <w:basedOn w:val="703"/>
  </w:style>
  <w:style w:type="paragraph" w:styleId="910" w:customStyle="1">
    <w:name w:val="p27"/>
    <w:basedOn w:val="700"/>
    <w:pPr>
      <w:spacing w:before="100" w:beforeAutospacing="1" w:after="100" w:afterAutospacing="1"/>
    </w:pPr>
  </w:style>
  <w:style w:type="character" w:styleId="911" w:customStyle="1">
    <w:name w:val="apple-converted-space"/>
    <w:basedOn w:val="703"/>
  </w:style>
  <w:style w:type="character" w:styleId="912" w:customStyle="1">
    <w:name w:val="s14"/>
    <w:basedOn w:val="703"/>
  </w:style>
  <w:style w:type="character" w:styleId="913" w:customStyle="1">
    <w:name w:val="s17"/>
    <w:basedOn w:val="703"/>
  </w:style>
  <w:style w:type="character" w:styleId="914" w:customStyle="1">
    <w:name w:val="s19"/>
    <w:basedOn w:val="703"/>
  </w:style>
  <w:style w:type="paragraph" w:styleId="915" w:customStyle="1">
    <w:name w:val="p16"/>
    <w:basedOn w:val="700"/>
    <w:pPr>
      <w:spacing w:before="100" w:beforeAutospacing="1" w:after="100" w:afterAutospacing="1"/>
    </w:pPr>
  </w:style>
  <w:style w:type="character" w:styleId="916">
    <w:name w:val="annotation reference"/>
    <w:uiPriority w:val="99"/>
    <w:semiHidden/>
    <w:unhideWhenUsed/>
    <w:rPr>
      <w:sz w:val="16"/>
      <w:szCs w:val="16"/>
    </w:rPr>
  </w:style>
  <w:style w:type="paragraph" w:styleId="917">
    <w:name w:val="annotation text"/>
    <w:basedOn w:val="700"/>
    <w:link w:val="918"/>
    <w:uiPriority w:val="99"/>
    <w:semiHidden/>
    <w:unhideWhenUsed/>
    <w:rPr>
      <w:sz w:val="20"/>
      <w:szCs w:val="20"/>
    </w:rPr>
  </w:style>
  <w:style w:type="character" w:styleId="918" w:customStyle="1">
    <w:name w:val="Текст примечания Знак"/>
    <w:basedOn w:val="703"/>
    <w:link w:val="917"/>
    <w:uiPriority w:val="99"/>
    <w:semiHidden/>
  </w:style>
  <w:style w:type="paragraph" w:styleId="919">
    <w:name w:val="annotation subject"/>
    <w:basedOn w:val="917"/>
    <w:next w:val="917"/>
    <w:link w:val="920"/>
    <w:uiPriority w:val="99"/>
    <w:semiHidden/>
    <w:unhideWhenUsed/>
    <w:rPr>
      <w:b/>
      <w:bCs/>
      <w:lang w:val="en-US" w:eastAsia="en-US"/>
    </w:rPr>
  </w:style>
  <w:style w:type="character" w:styleId="920" w:customStyle="1">
    <w:name w:val="Тема примечания Знак"/>
    <w:link w:val="919"/>
    <w:uiPriority w:val="99"/>
    <w:semiHidden/>
    <w:rPr>
      <w:b/>
      <w:bCs/>
    </w:rPr>
  </w:style>
  <w:style w:type="paragraph" w:styleId="921">
    <w:name w:val="Balloon Text"/>
    <w:basedOn w:val="700"/>
    <w:link w:val="922"/>
    <w:uiPriority w:val="99"/>
    <w:semiHidden/>
    <w:unhideWhenUsed/>
    <w:rPr>
      <w:rFonts w:ascii="Tahoma" w:hAnsi="Tahoma"/>
      <w:sz w:val="16"/>
      <w:szCs w:val="16"/>
      <w:lang w:val="en-US" w:eastAsia="en-US"/>
    </w:rPr>
  </w:style>
  <w:style w:type="character" w:styleId="922" w:customStyle="1">
    <w:name w:val="Текст выноски Знак"/>
    <w:link w:val="921"/>
    <w:uiPriority w:val="99"/>
    <w:semiHidden/>
    <w:rPr>
      <w:rFonts w:ascii="Tahoma" w:hAnsi="Tahoma" w:cs="Tahoma"/>
      <w:sz w:val="16"/>
      <w:szCs w:val="16"/>
    </w:rPr>
  </w:style>
  <w:style w:type="character" w:styleId="923" w:customStyle="1">
    <w:name w:val="ConsPlusNormal Знак"/>
    <w:link w:val="884"/>
    <w:rPr>
      <w:rFonts w:ascii="Arial" w:hAnsi="Arial" w:cs="Arial"/>
      <w:lang w:val="ru-RU" w:eastAsia="ru-RU" w:bidi="ar-SA"/>
    </w:rPr>
  </w:style>
  <w:style w:type="paragraph" w:styleId="924">
    <w:name w:val="Header"/>
    <w:basedOn w:val="700"/>
    <w:link w:val="925"/>
    <w:uiPriority w:val="99"/>
    <w:unhideWhenUsed/>
    <w:pPr>
      <w:tabs>
        <w:tab w:val="center" w:pos="4677" w:leader="none"/>
        <w:tab w:val="right" w:pos="9355" w:leader="none"/>
      </w:tabs>
    </w:pPr>
    <w:rPr>
      <w:lang w:val="en-US" w:eastAsia="en-US"/>
    </w:rPr>
  </w:style>
  <w:style w:type="character" w:styleId="925" w:customStyle="1">
    <w:name w:val="Верхний колонтитул Знак"/>
    <w:link w:val="924"/>
    <w:uiPriority w:val="99"/>
    <w:rPr>
      <w:sz w:val="24"/>
      <w:szCs w:val="24"/>
    </w:rPr>
  </w:style>
  <w:style w:type="paragraph" w:styleId="926">
    <w:name w:val="Normal (Web)"/>
    <w:basedOn w:val="700"/>
    <w:link w:val="927"/>
    <w:pPr>
      <w:spacing w:before="100" w:after="100"/>
    </w:pPr>
    <w:rPr>
      <w:szCs w:val="20"/>
      <w:lang w:val="en-US" w:eastAsia="en-US"/>
    </w:rPr>
  </w:style>
  <w:style w:type="character" w:styleId="927" w:customStyle="1">
    <w:name w:val="Обычный (веб) Знак"/>
    <w:link w:val="926"/>
    <w:rPr>
      <w:sz w:val="24"/>
    </w:rPr>
  </w:style>
  <w:style w:type="paragraph" w:styleId="928" w:customStyle="1">
    <w:name w:val="Normal Знак Знак Знак"/>
    <w:rPr>
      <w:rFonts w:eastAsia="Calibri"/>
      <w:sz w:val="24"/>
      <w:szCs w:val="24"/>
      <w:lang w:eastAsia="ru-RU"/>
    </w:rPr>
  </w:style>
  <w:style w:type="character" w:styleId="929" w:customStyle="1">
    <w:name w:val="Текст сноски Знак"/>
    <w:basedOn w:val="703"/>
    <w:link w:val="867"/>
    <w:uiPriority w:val="99"/>
    <w:semiHidden/>
  </w:style>
  <w:style w:type="paragraph" w:styleId="930" w:customStyle="1">
    <w:name w:val="a5c8b0e714da563fe90b98cef41456e9db9fe9049761426654245bb2dd862eecmsonormal"/>
    <w:basedOn w:val="700"/>
    <w:pPr>
      <w:spacing w:before="100" w:beforeAutospacing="1" w:after="100" w:afterAutospacing="1"/>
    </w:pPr>
    <w:rPr>
      <w:rFonts w:eastAsia="Calibri"/>
    </w:rPr>
  </w:style>
  <w:style w:type="character" w:styleId="931" w:customStyle="1">
    <w:name w:val="Текст концевой сноски Знак"/>
    <w:basedOn w:val="703"/>
    <w:link w:val="870"/>
    <w:uiPriority w:val="99"/>
    <w:semiHidden/>
  </w:style>
  <w:style w:type="character" w:styleId="932" w:customStyle="1">
    <w:name w:val="Текст сноски Знак1"/>
    <w:uiPriority w:val="99"/>
    <w:semiHidden/>
    <w:rPr>
      <w:rFonts w:ascii="Times New Roman" w:hAnsi="Times New Roman" w:eastAsia="Times New Roman" w:cs="Times New Roman"/>
      <w:sz w:val="20"/>
      <w:szCs w:val="20"/>
      <w:lang w:eastAsia="ru-RU"/>
    </w:rPr>
  </w:style>
  <w:style w:type="paragraph" w:styleId="933">
    <w:name w:val="Body Text Indent 3"/>
    <w:basedOn w:val="700"/>
    <w:link w:val="934"/>
    <w:uiPriority w:val="99"/>
    <w:semiHidden/>
    <w:unhideWhenUsed/>
    <w:pPr>
      <w:ind w:left="283"/>
      <w:spacing w:after="120"/>
    </w:pPr>
    <w:rPr>
      <w:sz w:val="16"/>
      <w:szCs w:val="16"/>
      <w:lang w:val="en-US" w:eastAsia="en-US"/>
    </w:rPr>
  </w:style>
  <w:style w:type="character" w:styleId="934" w:customStyle="1">
    <w:name w:val="Основной текст с отступом 3 Знак"/>
    <w:link w:val="933"/>
    <w:uiPriority w:val="99"/>
    <w:semiHidden/>
    <w:rPr>
      <w:sz w:val="16"/>
      <w:szCs w:val="16"/>
    </w:rPr>
  </w:style>
  <w:style w:type="character" w:styleId="935">
    <w:name w:val="FollowedHyperlink"/>
    <w:basedOn w:val="703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yperlink" Target="https://gosuslugi35.ru" TargetMode="External"/><Relationship Id="rId11" Type="http://schemas.openxmlformats.org/officeDocument/2006/relationships/hyperlink" Target="http://www.vytegra@r08.gov35.ru" TargetMode="External"/><Relationship Id="rId12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3" Type="http://schemas.openxmlformats.org/officeDocument/2006/relationships/hyperlink" Target="consultantplus://offline/ref=6516297AE893B6B7391D086B5E884F35F1831BBEB36328ED641890D3839C58CDA48DB4BE9CEA3D0Fn4e0Q" TargetMode="External"/><Relationship Id="rId14" Type="http://schemas.openxmlformats.org/officeDocument/2006/relationships/hyperlink" Target="consultantplus://offline/ref=5D3CD591C1E3272F388E3F714A90A657636CEC352345BA8B8701D63D89249EFF914D7E96435F87BCXCH8L" TargetMode="External"/><Relationship Id="rId15" Type="http://schemas.openxmlformats.org/officeDocument/2006/relationships/hyperlink" Target="consultantplus://offline/ref=9DFCD0BC58F1901188C452263C0976EC7682B8277B42784B22C3A2DEC2AABDAEC9F86746227977ABeCmEQ" TargetMode="External"/><Relationship Id="rId16" Type="http://schemas.openxmlformats.org/officeDocument/2006/relationships/hyperlink" Target="consultantplus://offline/ref=C1CDE33D63DE8AFABC59A482FD33D1779F032631D15D311EC778CCCC97E5E6B8F2F3BD3A37ADA7L" TargetMode="External"/><Relationship Id="rId17" Type="http://schemas.openxmlformats.org/officeDocument/2006/relationships/hyperlink" Target="consultantplus://offline/ref=076C15B46DC357EEFA5267F9702BBB92EC4EEB0C6156D7EE4C4C95EE9D7AEC86E4161FE02818130C2C37L" TargetMode="External"/><Relationship Id="rId18" Type="http://schemas.openxmlformats.org/officeDocument/2006/relationships/hyperlink" Target="file:///C:\Users\MyasnikovaEV\Desktop\&#1056;&#1072;&#1073;&#1086;&#1095;&#1080;&#1081;%20&#1089;&#1090;&#1086;&#1083;\&#1052;&#1091;&#1085;%20&#1090;&#1080;&#1087;&#1086;&#1074;&#1080;&#1082;&#1080;\2020\&#1058;&#1040;&#1056;%20&#1087;&#1088;&#1077;&#1076;&#1086;&#1089;&#1090;&#1072;&#1074;&#1083;&#1077;&#1085;&#1080;&#1103;%20&#1084;&#1091;&#1085;&#1080;&#1094;&#1080;&#1087;&#1072;&#1083;&#1100;&#1085;&#1086;&#1081;%20&#1091;&#1089;&#1083;&#1091;&#1075;&#1080;%20&#1087;&#1086;%20&#1087;&#1077;&#1088;&#1077;&#1074;&#1086;&#1076;&#1091;%20&#1078;&#1080;&#1083;&#1086;&#1075;&#1086;%20&#1087;&#1086;&#1084;&#1077;&#1097;&#1077;&#1085;&#1080;&#1103;%20&#1074;%20&#1085;&#1077;&#1078;&#1080;&#1083;&#1086;&#1077;%20&#1080;%20&#1085;&#1077;&#1078;&#1080;&#1083;&#1086;&#1075;&#1086;%20&#1074;%20&#1078;&#1080;&#1083;&#1086;&#1077;%20&#1087;&#1086;&#1084;&#1077;&#1097;&#1077;&#1085;&#1080;&#1077;.doc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Р7-Офис/2025.4.1.1604</Application>
  <Company>Krokoz™</Company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user</cp:lastModifiedBy>
  <cp:revision>95</cp:revision>
  <dcterms:created xsi:type="dcterms:W3CDTF">2022-02-03T10:32:00Z</dcterms:created>
  <dcterms:modified xsi:type="dcterms:W3CDTF">2026-03-04T11:40:32Z</dcterms:modified>
  <cp:version>786432</cp:version>
</cp:coreProperties>
</file>